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vanish/>
        </w:rPr>
      </w:pPr>
      <w:r>
        <w:rPr>
          <w:vanish/>
        </w:rPr>
      </w:r>
    </w:p>
    <w:p>
      <w:pPr>
        <w:pStyle w:val="Normal"/>
        <w:rPr>
          <w:vanish/>
        </w:rPr>
      </w:pPr>
      <w:r>
        <w:rPr>
          <w:vanish/>
        </w:rPr>
      </w:r>
    </w:p>
    <w:p>
      <w:pPr>
        <w:pStyle w:val="Normal"/>
        <w:rPr>
          <w:vanish/>
        </w:rPr>
      </w:pPr>
      <w:r>
        <w:rPr>
          <w:vanish/>
        </w:rPr>
      </w:r>
    </w:p>
    <w:p>
      <w:pPr>
        <w:pStyle w:val="Normal"/>
        <w:rPr>
          <w:vanish/>
        </w:rPr>
      </w:pPr>
      <w:r>
        <w:rPr>
          <w:vanish/>
        </w:rPr>
      </w:r>
    </w:p>
    <w:p>
      <w:pPr>
        <w:pStyle w:val="Normal"/>
        <w:rPr>
          <w:vanish/>
        </w:rPr>
      </w:pPr>
      <w:r>
        <w:rPr>
          <w:vanish/>
        </w:rPr>
      </w:r>
    </w:p>
    <w:p>
      <w:pPr>
        <w:pStyle w:val="Style32"/>
        <w:widowControl w:val="false"/>
        <w:spacing w:lineRule="auto" w:line="240"/>
        <w:ind w:hanging="0"/>
        <w:jc w:val="center"/>
        <w:rPr>
          <w:smallCaps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smallCaps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Извещение № 17 (Информационное сообщение)</w:t>
      </w:r>
    </w:p>
    <w:p>
      <w:pPr>
        <w:pStyle w:val="Style32"/>
        <w:widowControl w:val="false"/>
        <w:spacing w:lineRule="auto" w:line="240"/>
        <w:ind w:firstLine="709"/>
        <w:jc w:val="both"/>
        <w:rPr>
          <w:smallCaps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smallCaps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r>
    </w:p>
    <w:p>
      <w:pPr>
        <w:pStyle w:val="Normal"/>
        <w:widowControl w:val="false"/>
        <w:ind w:firstLine="709"/>
        <w:jc w:val="center"/>
        <w:rPr/>
      </w:pPr>
      <w:r>
        <w:rPr/>
        <w:t>Комитет по управлению муниципальным имуществом администрации города Дзержинска Нижегородской области сообщает,</w:t>
      </w:r>
    </w:p>
    <w:p>
      <w:pPr>
        <w:pStyle w:val="Normal"/>
        <w:widowControl w:val="false"/>
        <w:ind w:firstLine="709"/>
        <w:jc w:val="center"/>
        <w:rPr/>
      </w:pPr>
      <w:r>
        <w:rPr/>
        <w:t xml:space="preserve">что </w:t>
      </w:r>
      <w:r>
        <w:rPr>
          <w:b/>
          <w:bCs/>
        </w:rPr>
        <w:t>03.09.2026</w:t>
      </w:r>
      <w:r>
        <w:rPr>
          <w:b/>
        </w:rPr>
        <w:t xml:space="preserve"> г. в 09 часов 00 минут</w:t>
      </w:r>
      <w:r>
        <w:rPr/>
        <w:t xml:space="preserve"> состоится</w:t>
      </w:r>
    </w:p>
    <w:p>
      <w:pPr>
        <w:pStyle w:val="Normal"/>
        <w:widowControl w:val="false"/>
        <w:ind w:firstLine="709"/>
        <w:jc w:val="center"/>
        <w:rPr>
          <w:b/>
          <w:b/>
        </w:rPr>
      </w:pPr>
      <w:r>
        <w:rPr>
          <w:b/>
        </w:rPr>
        <w:t xml:space="preserve">АУКЦИОН </w:t>
      </w:r>
      <w:r>
        <w:rPr>
          <w:b/>
          <w:caps/>
        </w:rPr>
        <w:t>по продаже</w:t>
      </w:r>
      <w:r>
        <w:rPr>
          <w:b/>
        </w:rPr>
        <w:t xml:space="preserve"> </w:t>
      </w:r>
      <w:r>
        <w:rPr>
          <w:b/>
          <w:caps/>
        </w:rPr>
        <w:t>муниципального</w:t>
      </w:r>
      <w:r>
        <w:rPr>
          <w:b/>
        </w:rPr>
        <w:t xml:space="preserve"> ИМУЩЕСТВА</w:t>
      </w:r>
    </w:p>
    <w:p>
      <w:pPr>
        <w:pStyle w:val="Normal"/>
        <w:widowControl w:val="false"/>
        <w:ind w:firstLine="709"/>
        <w:jc w:val="center"/>
        <w:rPr>
          <w:b/>
          <w:b/>
        </w:rPr>
      </w:pPr>
      <w:r>
        <w:rPr>
          <w:b/>
        </w:rPr>
        <w:t>В ЭЛЕКТРОННОЙ ФОРМЕ</w:t>
      </w:r>
    </w:p>
    <w:p>
      <w:pPr>
        <w:pStyle w:val="Normal"/>
        <w:widowControl w:val="false"/>
        <w:ind w:firstLine="709"/>
        <w:jc w:val="both"/>
        <w:rPr/>
      </w:pPr>
      <w:r>
        <w:rPr>
          <w:b/>
        </w:rPr>
        <w:t>Продавец:</w:t>
      </w:r>
      <w:r>
        <w:rPr/>
        <w:t xml:space="preserve"> Комитет по управлению муниципальным имуществом администрации города Дзержинска Нижегородской области (606000, г.Дзержинск, пр.Ленина, д.61 А, помещ. П6; код города: 8313, тел.: 39-72-05; е-mail: </w:t>
      </w:r>
      <w:r>
        <w:rPr>
          <w:lang w:val="en-US"/>
        </w:rPr>
        <w:t>kumi</w:t>
      </w:r>
      <w:r>
        <w:rPr/>
        <w:t>@</w:t>
      </w:r>
      <w:r>
        <w:rPr>
          <w:lang w:val="en-US"/>
        </w:rPr>
        <w:t>adm</w:t>
      </w:r>
      <w:r>
        <w:rPr/>
        <w:t>.</w:t>
      </w:r>
      <w:r>
        <w:rPr>
          <w:lang w:val="en-US"/>
        </w:rPr>
        <w:t>dzr</w:t>
      </w:r>
      <w:r>
        <w:rPr/>
        <w:t>.</w:t>
      </w:r>
      <w:r>
        <w:rPr>
          <w:lang w:val="en-US"/>
        </w:rPr>
        <w:t>nnov</w:t>
      </w:r>
      <w:r>
        <w:rPr/>
        <w:t>.</w:t>
      </w:r>
      <w:r>
        <w:rPr>
          <w:lang w:val="en-US"/>
        </w:rPr>
        <w:t>ru</w:t>
      </w:r>
      <w:r>
        <w:rPr/>
        <w:t>).</w:t>
      </w:r>
    </w:p>
    <w:p>
      <w:pPr>
        <w:pStyle w:val="Normal"/>
        <w:widowControl w:val="false"/>
        <w:spacing w:before="120" w:after="120"/>
        <w:ind w:firstLine="709"/>
        <w:jc w:val="both"/>
        <w:rPr/>
      </w:pPr>
      <w:r>
        <w:rPr>
          <w:b/>
        </w:rPr>
        <w:t>Официальный сайт продавца:</w:t>
      </w:r>
      <w:r>
        <w:rPr/>
        <w:t xml:space="preserve"> https://адмдзержинск.рф/</w:t>
      </w:r>
    </w:p>
    <w:p>
      <w:pPr>
        <w:pStyle w:val="Normal"/>
        <w:widowControl w:val="false"/>
        <w:ind w:firstLine="709"/>
        <w:jc w:val="both"/>
        <w:rPr/>
      </w:pPr>
      <w:r>
        <w:rPr>
          <w:b/>
        </w:rPr>
        <w:t>Организатор торгов</w:t>
      </w:r>
      <w:r>
        <w:rPr/>
        <w:t>: АО «Российский аукционный дом» (https://lot-online.ru/)</w:t>
      </w:r>
    </w:p>
    <w:p>
      <w:pPr>
        <w:pStyle w:val="Normal"/>
        <w:widowControl w:val="false"/>
        <w:ind w:firstLine="709"/>
        <w:jc w:val="both"/>
        <w:rPr/>
      </w:pPr>
      <w:r>
        <w:rPr/>
        <w:t>Аукцион по продаже имущества, находящегося в муниципальной собственности, проводится открытым по составу участников в соответствии с требованиями Гражданского кодекса Российской Федерации, Федерального закона от 21.12.2001 № 178-ФЗ «О приватизации государственного и муниципального имущества» (далее – Закон о приватизации), постановления Правительства РФ от 27.08.2012 № 860 «Об организации и проведении продажи государственного или муниципального имущества в электронной форме».</w:t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  <w:u w:val="single"/>
        </w:rPr>
        <w:t xml:space="preserve">Форма подачи предложений о цене: </w:t>
      </w:r>
      <w:r>
        <w:rPr>
          <w:b/>
        </w:rPr>
        <w:t xml:space="preserve">открытая. </w:t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  <w:u w:val="single"/>
        </w:rPr>
        <w:t>Начало приема заявок на участие в торгах:</w:t>
      </w:r>
      <w:r>
        <w:rPr>
          <w:b/>
        </w:rPr>
        <w:t xml:space="preserve"> 04.08.2026 с 09:00</w:t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  <w:u w:val="single"/>
        </w:rPr>
        <w:t>Окончание приема заявок на участие в торгах:</w:t>
      </w:r>
      <w:r>
        <w:rPr>
          <w:b/>
        </w:rPr>
        <w:t xml:space="preserve"> 31.08.2026 в 12:00</w:t>
      </w:r>
    </w:p>
    <w:p>
      <w:pPr>
        <w:pStyle w:val="Normal"/>
        <w:widowControl w:val="false"/>
        <w:ind w:firstLine="709"/>
        <w:jc w:val="both"/>
        <w:rPr>
          <w:b/>
          <w:b/>
          <w:bCs/>
        </w:rPr>
      </w:pPr>
      <w:r>
        <w:rPr>
          <w:b/>
          <w:u w:val="single"/>
        </w:rPr>
        <w:t>День/время блокирования задатка на счете организатора:</w:t>
      </w:r>
      <w:r>
        <w:rPr>
          <w:b/>
        </w:rPr>
        <w:t xml:space="preserve"> 31.08.2026 в 12:00</w:t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  <w:u w:val="single"/>
        </w:rPr>
        <w:t>Определение участников торгов:</w:t>
      </w:r>
      <w:r>
        <w:rPr>
          <w:b/>
        </w:rPr>
        <w:t xml:space="preserve"> 01.09.2026 до 12:00</w:t>
      </w:r>
    </w:p>
    <w:p>
      <w:pPr>
        <w:pStyle w:val="Normal"/>
        <w:widowControl w:val="false"/>
        <w:ind w:firstLine="709"/>
        <w:jc w:val="both"/>
        <w:rPr>
          <w:b/>
          <w:b/>
          <w:u w:val="single"/>
        </w:rPr>
      </w:pPr>
      <w:r>
        <w:rPr>
          <w:b/>
          <w:u w:val="single"/>
        </w:rPr>
        <w:t>Проведение торгов (дата и время начала приема предложений от</w:t>
      </w:r>
    </w:p>
    <w:p>
      <w:pPr>
        <w:pStyle w:val="Normal"/>
        <w:widowControl w:val="false"/>
        <w:ind w:firstLine="709"/>
        <w:jc w:val="both"/>
        <w:rPr>
          <w:b/>
          <w:b/>
          <w:u w:val="single"/>
        </w:rPr>
      </w:pPr>
      <w:r>
        <w:rPr>
          <w:b/>
          <w:u w:val="single"/>
        </w:rPr>
        <w:t>участников торгов):</w:t>
      </w:r>
      <w:r>
        <w:rPr>
          <w:b/>
        </w:rPr>
        <w:t xml:space="preserve"> 03.09.2026 в 09:00.</w:t>
      </w:r>
    </w:p>
    <w:p>
      <w:pPr>
        <w:pStyle w:val="Normal"/>
        <w:widowControl w:val="false"/>
        <w:spacing w:before="120" w:after="0"/>
        <w:ind w:firstLine="709"/>
        <w:jc w:val="both"/>
        <w:rPr>
          <w:b/>
          <w:b/>
        </w:rPr>
      </w:pPr>
      <w:r>
        <w:rPr>
          <w:b/>
        </w:rPr>
        <w:t xml:space="preserve">Описание имущества, находящегося в муниципальной собственности, выставляемого на торги в электронной форме (информация о торгах также размещена на </w:t>
      </w:r>
      <w:r>
        <w:rPr>
          <w:b/>
          <w:u w:val="single"/>
        </w:rPr>
        <w:t>https://адмдзержинск.рф/</w:t>
      </w:r>
      <w:r>
        <w:rPr>
          <w:b/>
        </w:rPr>
        <w:t xml:space="preserve">, </w:t>
      </w:r>
      <w:hyperlink r:id="rId2">
        <w:r>
          <w:rPr>
            <w:b/>
          </w:rPr>
          <w:t>www.torgi.gov.ru</w:t>
        </w:r>
      </w:hyperlink>
      <w:r>
        <w:rPr>
          <w:b/>
        </w:rPr>
        <w:t>):</w:t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</w:rPr>
        <w:t>Лот № 1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  <w:t xml:space="preserve">Описание имущества: нежилое </w:t>
      </w:r>
      <w:r>
        <w:rPr>
          <w:color w:val="000000"/>
          <w:spacing w:val="1"/>
        </w:rPr>
        <w:t>здание,</w:t>
      </w:r>
      <w:r>
        <w:rPr>
          <w:bCs/>
          <w:color w:val="000000"/>
          <w:spacing w:val="1"/>
        </w:rPr>
        <w:t xml:space="preserve"> </w:t>
      </w:r>
      <w:r>
        <w:rPr>
          <w:bCs/>
          <w:color w:val="000000"/>
          <w:spacing w:val="-1"/>
        </w:rPr>
        <w:t>назначение: нежилое,</w:t>
      </w:r>
      <w:r>
        <w:rPr>
          <w:bCs/>
          <w:color w:val="000000"/>
          <w:spacing w:val="1"/>
        </w:rPr>
        <w:t xml:space="preserve"> площадь 381,4 кв.м, кадастровый номер: 52:21:0000102:120, местоположение: Нижегородская область, г Дзержинск,</w:t>
      </w:r>
      <w:r>
        <w:rPr>
          <w:bCs/>
          <w:color w:val="000000"/>
          <w:spacing w:val="-2"/>
        </w:rPr>
        <w:t xml:space="preserve"> ул</w:t>
      </w:r>
      <w:r>
        <w:rPr>
          <w:bCs/>
          <w:color w:val="000000"/>
          <w:spacing w:val="1"/>
        </w:rPr>
        <w:t xml:space="preserve"> Гайдара, д 7.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color w:val="000000"/>
        </w:rPr>
        <w:t>Начальная цена продажи объекта составляет 5 900 000 (Пять миллионов девятьсот тысяч)</w:t>
      </w:r>
      <w:r>
        <w:rPr>
          <w:b/>
          <w:bCs/>
          <w:color w:val="000000"/>
          <w:spacing w:val="-1"/>
        </w:rPr>
        <w:t xml:space="preserve"> </w:t>
      </w:r>
      <w:r>
        <w:rPr>
          <w:b/>
          <w:bCs/>
          <w:color w:val="000000"/>
        </w:rPr>
        <w:t>рублей 00 копеек,</w:t>
      </w:r>
      <w:r>
        <w:rPr>
          <w:b/>
          <w:bCs/>
          <w:color w:val="000000"/>
          <w:spacing w:val="-1"/>
        </w:rPr>
        <w:t xml:space="preserve"> </w:t>
      </w:r>
      <w:r>
        <w:rPr>
          <w:b/>
          <w:bCs/>
          <w:color w:val="000000"/>
        </w:rPr>
        <w:t>в</w:t>
      </w:r>
      <w:r>
        <w:rPr>
          <w:b/>
          <w:bCs/>
          <w:color w:val="000000"/>
          <w:spacing w:val="-2"/>
        </w:rPr>
        <w:t xml:space="preserve"> </w:t>
      </w:r>
      <w:r>
        <w:rPr>
          <w:b/>
          <w:bCs/>
          <w:color w:val="000000"/>
        </w:rPr>
        <w:t>том</w:t>
      </w:r>
      <w:r>
        <w:rPr>
          <w:b/>
          <w:bCs/>
          <w:color w:val="000000"/>
          <w:spacing w:val="-1"/>
        </w:rPr>
        <w:t xml:space="preserve"> </w:t>
      </w:r>
      <w:r>
        <w:rPr>
          <w:b/>
          <w:bCs/>
          <w:color w:val="000000"/>
        </w:rPr>
        <w:t>числе НДС.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color w:val="000000"/>
        </w:rPr>
        <w:t xml:space="preserve">Размер задатка (10%): </w:t>
      </w:r>
      <w:r>
        <w:rPr>
          <w:color w:val="000000"/>
        </w:rPr>
        <w:t>590 000 (Пятьсот девяносто тысяч) рублей 00 копеек.</w:t>
      </w:r>
    </w:p>
    <w:p>
      <w:pPr>
        <w:pStyle w:val="BodyText2"/>
        <w:widowControl w:val="false"/>
        <w:ind w:firstLine="720"/>
        <w:jc w:val="both"/>
        <w:rPr>
          <w:color w:val="000000"/>
        </w:rPr>
      </w:pPr>
      <w:r>
        <w:rPr>
          <w:b/>
          <w:bCs/>
          <w:color w:val="000000"/>
        </w:rPr>
        <w:t>Шаг аукциона (5%):</w:t>
      </w:r>
      <w:r>
        <w:rPr>
          <w:bCs/>
          <w:color w:val="000000"/>
        </w:rPr>
        <w:t xml:space="preserve"> 295 000 (Двести девяносто пять тысяч) рублей 00 копеек.</w:t>
      </w:r>
    </w:p>
    <w:p>
      <w:pPr>
        <w:pStyle w:val="Normal"/>
        <w:tabs>
          <w:tab w:val="clear" w:pos="708"/>
          <w:tab w:val="left" w:pos="0" w:leader="none"/>
        </w:tabs>
        <w:ind w:firstLine="737"/>
        <w:jc w:val="both"/>
        <w:rPr/>
      </w:pPr>
      <w:r>
        <w:rPr/>
        <w:t>В соответствии со ст. 28 ФЗ «О приватизации государственного и муниципального имущества» № 178-ФЗ от 21.12.2001 г. приватизация зданий, строений и сооружений осуществляется одновременно с отчуждением лицу, приобретающему такое имущество, земельных участков, занимаемых таким имуществом.</w:t>
      </w:r>
    </w:p>
    <w:p>
      <w:pPr>
        <w:pStyle w:val="Normal"/>
        <w:widowControl w:val="false"/>
        <w:ind w:firstLine="709"/>
        <w:jc w:val="both"/>
        <w:rPr>
          <w:bCs/>
          <w:color w:val="000000"/>
        </w:rPr>
      </w:pPr>
      <w:r>
        <w:rPr>
          <w:bCs/>
          <w:color w:val="000000"/>
          <w:spacing w:val="1"/>
        </w:rPr>
        <w:t>Нежилое здание</w:t>
      </w:r>
      <w:r>
        <w:rPr>
          <w:bCs/>
          <w:color w:val="000000" w:themeColor="text1"/>
        </w:rPr>
        <w:t xml:space="preserve"> расположено на земельном участке </w:t>
      </w:r>
      <w:r>
        <w:rPr>
          <w:color w:val="000000" w:themeColor="text1"/>
        </w:rPr>
        <w:t xml:space="preserve">площадью 2398 </w:t>
      </w:r>
      <w:r>
        <w:rPr>
          <w:bCs/>
          <w:color w:val="000000" w:themeColor="text1"/>
        </w:rPr>
        <w:t xml:space="preserve">кв.м, кадастровый номер: </w:t>
      </w:r>
      <w:r>
        <w:rPr>
          <w:color w:val="000000" w:themeColor="text1"/>
        </w:rPr>
        <w:t>52:21:0000102:459</w:t>
      </w:r>
      <w:r>
        <w:rPr>
          <w:bCs/>
          <w:color w:val="000000" w:themeColor="text1"/>
        </w:rPr>
        <w:t>, категория земель: земли населенных пунктов, вид разрешенного использования:</w:t>
      </w:r>
      <w:r>
        <w:rPr>
          <w:bCs/>
          <w:color w:val="000000"/>
        </w:rPr>
        <w:t xml:space="preserve"> предоставление коммунальных услуг, расположенного по адресу: </w:t>
      </w:r>
      <w:r>
        <w:rPr>
          <w:spacing w:val="1"/>
        </w:rPr>
        <w:t>Нижегородская область, г Дзержинск, ул Гайдара, д 9А.</w:t>
      </w:r>
    </w:p>
    <w:p>
      <w:pPr>
        <w:pStyle w:val="Normal"/>
        <w:widowControl w:val="false"/>
        <w:ind w:firstLine="709"/>
        <w:jc w:val="both"/>
        <w:rPr>
          <w:bCs/>
          <w:color w:val="000000"/>
        </w:rPr>
      </w:pPr>
      <w:r>
        <w:rPr>
          <w:bCs/>
          <w:color w:val="000000"/>
        </w:rPr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  <w:spacing w:val="1"/>
        </w:rPr>
        <w:t>Особые условия в использовании земельным участком установлены в ЕГРН:</w:t>
      </w:r>
    </w:p>
    <w:tbl>
      <w:tblPr>
        <w:tblW w:w="9075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noVBand="1" w:noHBand="0" w:lastColumn="0" w:firstColumn="1" w:lastRow="0" w:firstRow="1"/>
      </w:tblPr>
      <w:tblGrid>
        <w:gridCol w:w="1922"/>
        <w:gridCol w:w="962"/>
        <w:gridCol w:w="6191"/>
      </w:tblGrid>
      <w:tr>
        <w:trPr/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38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Учетный номер части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38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Площадь, м2</w:t>
            </w:r>
          </w:p>
        </w:tc>
        <w:tc>
          <w:tcPr>
            <w:tcW w:w="6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8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ограничения в использовании или ограничения права на объект недвижимости или обременения объекта недвижимости</w:t>
            </w:r>
          </w:p>
        </w:tc>
      </w:tr>
      <w:tr>
        <w:trPr/>
        <w:tc>
          <w:tcPr>
            <w:tcW w:w="192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8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52:21:0000102:459/1</w:t>
            </w:r>
          </w:p>
        </w:tc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8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61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8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ограничения (обременения): ограничения прав на земельный участок, предусмотренные статьей 56 Земельного кодекса Российской Федерации; Срок действия: не установлен; реквизиты документа-основания: приказ "Об утверждении описания местоположения границ защитных зон объектов культурного наследия, расположенных на территории гор. округа г. Дзержинск Нижегородской обл., режима использования земель в границах защитных зон объектов культурного наследия" от 24.11.2020 №369 выдан: Управление государственной охраны объектов культурного наследия Нижегородской области; Содержание ограничения (обременения): Настоящим Режимом запрещается строительство объектов капитального строительства и реконструкция объектов капитального строительства, связанная с изменением их параметров (высоты, количества этажей, площади), за исключением строительства и реконструкции линейных объектов.; Реестровый номер границы: 52:21-6.772; Вид объекта реестра границ: Зона с особыми условиями использования территории; Вид зоны по документу: Границы защитной зоны объекта культурного наследия регионального значения "Ансамбль жилых домов с курдонером" (г. Дзержинск, пр. Ленина, 25, 27, 29, 33, 35, 37); Тип зоны: Иная зона с особыми условиями использования территории</w:t>
            </w:r>
          </w:p>
        </w:tc>
      </w:tr>
      <w:tr>
        <w:trPr/>
        <w:tc>
          <w:tcPr>
            <w:tcW w:w="192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8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52:21:0000102:459/2</w:t>
            </w:r>
          </w:p>
        </w:tc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8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61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8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ограничения (обременения): ограничения прав на земельный участок, предусмотренные статьей 56 Земельного кодекса Российской Федерации; Срок действия: не установлен; реквизиты документа-основания: приказ "О Типовых правилах охраны коммунальных тепловых сетей" от 17.08.1992 №197 выдан: Министерство архитектуры, строительства и жилищно-коммунального хозяйства РФ; Содержание ограничения (обременения): В соответствии с п.п. 5, 6 Типовых правил охраны коммунальных тепловых сетей, утвержденных Приказом Минстроя России от 17 августа 1992 г. №197 в пределах охранных зон тепловых сетей не допускается: 5. В пределах охранных зон тепловых сетей не допускается производить действия, которые могут повлечь нарушения в нормальной работе тепловых сетей, их повреждение, несчастные случаи или препятствующие ремонту: - размещать автозаправочные станции, хранилища горюче-смазочных материалов, складировать агрессивные химические материалы; - загромождать подходы и подъезды к объектам и сооружениям тепловых сетей, складировать тяжелые и громоздкие материалы, возводить временные строения и заборы; - устраивать спортивные и игровые площадки, неорганизованные рынки, остановочные пункты общественного транспорта, стоянки всех видов машин и механизмов, гаражи, огороды и т.п.; - устраивать всякого рода свалки, разжигать костры, сжигать бытовой мусор или промышленные отходы; - производить работы ударными механизмами, производить сброс и слив едких и коррозионно-активных веществ и горюче-смазочных материалов; - проникать в помещения павильонов, центральных и индивидуальных тепловых пунктов посторонним лицам; открывать, снимать, засыпать люки камер тепловых сетей; сбрасывать в камеры мусор, отходы, снег и т.д.; - снимать покровный металлический слой тепловой изоляции; разрушать тепловую изоляцию; ходить по трубопроводам надземной прокладки (переход через трубы разрешается только по специальным переходным мостикам); - занимать подвалы зданий, особенно имеющих опасность затопления, в которых проложены тепловые сети или оборудованы тепловые вводы под мастерские, склады, для иных целей; тепловые вводы в здания должны быть загерметизированы. 6. В пределах территории охранных зон тепловых сетей без письменного согласия предприятий и организаций, в ведении которых находятся эти сети, запрещается: - производить строительство, капитальный ремонт, реконструкцию или снос любых зданий и сооружений; - производить земляные работы, планировку грунта, посадку деревьев и кустарников, устраивать монументальные клумбы; - производить погрузочно-разгрузочные работы, а также работы, связанные с разбиванием грунта и дорожных покрытий; - сооружать переезды и переходы через трубопроводы тепловых сетей.; Реестровый номер границы: 52:21-6.1683; Вид объекта реестра границ: Зона с особыми условиями использования территории; Вид зоны по документу: Охранная зона коммунальных тепловых сетей: Абонентский ввод отопления и ГВС от ТК-5 до здания инфекционного отделения Больницы No8, расположенные по адресу ул. Гайдара, 7 кадастровый №52:21:0000102:448 (источник отопления котельная 27, источник гвс котельная 3); Тип зоны: Охранная зона инженерных коммуникаций</w:t>
            </w:r>
          </w:p>
        </w:tc>
      </w:tr>
      <w:tr>
        <w:trPr/>
        <w:tc>
          <w:tcPr>
            <w:tcW w:w="192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8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52:21:0000102:459/3</w:t>
            </w:r>
          </w:p>
        </w:tc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8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479</w:t>
            </w:r>
          </w:p>
        </w:tc>
        <w:tc>
          <w:tcPr>
            <w:tcW w:w="61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8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ограничения (обременения): ограничения прав на земельный участок, предусмотренные статьей 56 Земельного кодекса Российской Федерации; Срок действия: не установлен; реквизиты документа-основания: приказ "О Типовых правилах охраны коммунальных тепловых сетей" от 17.08.1992 №197; Содержание ограничения (обременения): В соответствии с п.п. 5, 6 Типовых правил охраны коммунальных тепловых сетей, утвержденных Приказом Минстроя России от 17 августа 1992 г. №197 в пределах охранных зон тепловых сетей не допускается: 5. В пределах охранных зон тепловых сетей не допускается производить действия, которые могут повлечь нарушения в нормальной работе тепловых сетей, их повреждение, несчастные случаи или препятствующие ремонту: - размещать автозаправочные станции, хранилища горюче-смазочных материалов, складировать агрессивные химические материалы; - загромождать подходы и подъезды к объектам и сооружениям тепловых сетей, складировать тяжелые и громоздкие материалы, возводить временные строения и заборы; - устраивать спортивные и игровые площадки, неорганизованные рынки, остановочные пункты общественного транспорта, стоянки всех видов машин и механизмов, гаражи, огороды и т.п.; - устраивать всякого рода свалки, разжигать костры, сжигать бытовой мусор или промышленные отходы; - производить работы ударными механизмами, производить сброс и слив едких и коррозионно-активных веществ и горюче-смазочных материалов; - проникать в помещения павильонов, центральных и индивидуальных тепловых пунктов посторонним лицам; открывать, снимать, засыпать люки камер тепловых сетей; сбрасывать в камеры мусор, отходы, снег и т.д.; - снимать покровный металлический слой тепловой изоляции; разрушать тепловую изоляцию; ходить по трубопроводам надземной прокладки (переход через трубы разрешается только по специальным переходным мостикам); - занимать подвалы зданий, особенно имеющих опасность затопления, в которых проложены тепловые сети или оборудованы тепловые вводы под мастерские, склады, для иных целей; тепловые вводы в здания должны быть загерметизированы. 6. В пределах территории охранных зон тепловых сетей без письменного согласия предприятий и организаций, в ведении которых находятся эти сети, запрещается: - производить строительство, капитальный ремонт, реконструкцию или снос любых зданий и сооружений; - производить земляные работы, планировку грунта, посадку деревьев и кустарников, устраивать монументальные клумбы; - производить погрузочно-разгрузочные работы, а также работы, связанные с разбиванием грунта и дорожных покрытий; - сооружать переезды и переходы через трубопроводы тепловых сетей.; Реестровый номер границы: 52:21-6.2355; Вид объекта реестра границ: Зона с особыми условиями использования территории; Вид зоны по документу: Охранная зона коммунальных тепловых сетей: Магистраль системы отопления от внутриквартальной камеры ТК8Б до здания котельной №3, от здания котельной №3 до ТК7, расположенные по адресу ул. Гайдара, д. №7 кадастровый №52:21:0000000:4081 (источник котельная 27); Тип зоны: Охранная зона инженерных коммуникаций</w:t>
            </w:r>
          </w:p>
        </w:tc>
      </w:tr>
      <w:tr>
        <w:trPr/>
        <w:tc>
          <w:tcPr>
            <w:tcW w:w="28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8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Особые отметки:</w:t>
            </w:r>
          </w:p>
        </w:tc>
        <w:tc>
          <w:tcPr>
            <w:tcW w:w="61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8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данного земельного участка обеспечен доступ посредством земельного участка (земельных участков) с кадастровым номером (кадастровыми номерами): 52:21:0000102:1. Сведения об ограничениях права на объект недвижимости, обременениях данного объекта, не зарегистрированных в реестре прав, ограничений прав и обременений недвижимого имущества: вид ограничения (обременения): ограничения прав на земельный участок, предусмотренные статьей 56 Земельного кодекса Российской Федерации; срок действия: c 04.06.2021; реквизиты документа-основания: приказ "Об утверждении описания местоположения границ защитных зон объектов культурного наследия, расположенных на территории гор. округа г. Дзержинск Нижегородской обл., режима использования земель в границах защитных зон объектов культурного наследия" от 24.11.2020 №369 выдан: Управление государственной охраны объектов культурного наследия Нижегородской области. вид ограничения (обременения): ограничения прав на земельный участок, предусмотренные статьей 56 Земельного кодекса Российской Федерации; срок действия: c 17.04.2023; реквизиты документа-основания: приказ "О Типовых правилах охраны коммунальных тепловых сетей" от 17.08.1992 №197 выдан: Министерство архитектуры, строительства и жилищно-коммунального хозяйства РФ . вид ограничения (обременения): ограничения прав на земельный участок, предусмотренные статьей 56 Земельного кодекса Российской Федерации; срок действия: c 01.06.2023; реквизиты документа-основания: приказ "О Типовых правилах охраны коммунальных тепловых сетей" от 17.08.1992 №197.</w:t>
            </w:r>
          </w:p>
        </w:tc>
      </w:tr>
    </w:tbl>
    <w:p>
      <w:pPr>
        <w:pStyle w:val="Normal"/>
        <w:widowControl w:val="false"/>
        <w:ind w:firstLine="709"/>
        <w:jc w:val="both"/>
        <w:rPr>
          <w:bCs/>
          <w:color w:val="000000"/>
        </w:rPr>
      </w:pPr>
      <w:r>
        <w:rPr>
          <w:bCs/>
          <w:color w:val="000000"/>
        </w:rPr>
      </w:r>
    </w:p>
    <w:p>
      <w:pPr>
        <w:pStyle w:val="Normal"/>
        <w:widowControl w:val="false"/>
        <w:ind w:firstLine="709"/>
        <w:jc w:val="both"/>
        <w:rPr>
          <w:spacing w:val="1"/>
        </w:rPr>
      </w:pPr>
      <w:r>
        <w:rPr>
          <w:b/>
          <w:bCs/>
          <w:spacing w:val="1"/>
        </w:rPr>
        <w:t>Стоимость земельного участка в размере 22 115</w:t>
      </w:r>
      <w:r>
        <w:rPr>
          <w:b/>
          <w:bCs/>
          <w:color w:val="000000"/>
          <w:spacing w:val="1"/>
        </w:rPr>
        <w:t> 000 (Двадцать два миллиона сто пятнадцать тысяч) рублей 00 копеек, (НДС не облагается)</w:t>
      </w:r>
      <w:r>
        <w:rPr>
          <w:spacing w:val="1"/>
        </w:rPr>
        <w:t xml:space="preserve"> оплачивается единовременным платежом победителем торгов либо лицом, признанным единственным участником торгов, по договору купли-продажи муниципального имущества в течение 30 календарных дней с даты заключения договора купли-продажи.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  <w:t>Решение об условиях приватизации находящегося в муниципальной собственности имущества принято постановлением администрации города Дзержинска Нижегородской области от 27.07.2026 года № 5593.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color w:val="000000"/>
        </w:rPr>
        <w:t xml:space="preserve">Информация о предыдущих торгах: </w:t>
      </w:r>
      <w:r>
        <w:rPr>
          <w:bCs/>
          <w:spacing w:val="1"/>
        </w:rPr>
        <w:t>аукционы по продаже муниципального имущества в электронной форме от 10.11.2025 года и 25.12.2025 года признаны несостоявшимися по причине отсутствия заявок.</w:t>
      </w:r>
    </w:p>
    <w:p>
      <w:pPr>
        <w:pStyle w:val="Normal"/>
        <w:widowControl w:val="false"/>
        <w:tabs>
          <w:tab w:val="clear" w:pos="708"/>
          <w:tab w:val="left" w:pos="0" w:leader="none"/>
        </w:tabs>
        <w:ind w:firstLine="709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</w:rPr>
        <w:t>Лот № 2</w:t>
      </w:r>
    </w:p>
    <w:p>
      <w:pPr>
        <w:pStyle w:val="Normal"/>
        <w:widowControl w:val="false"/>
        <w:jc w:val="both"/>
        <w:rPr>
          <w:bCs/>
          <w:color w:val="000000"/>
        </w:rPr>
      </w:pPr>
      <w:r>
        <w:rPr>
          <w:b/>
        </w:rPr>
        <w:tab/>
      </w:r>
      <w:r>
        <w:rPr/>
        <w:t xml:space="preserve">Описание имущества (единого объекта недвижимости): </w:t>
      </w:r>
    </w:p>
    <w:p>
      <w:pPr>
        <w:pStyle w:val="Normal"/>
        <w:widowControl w:val="false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1) нежилое </w:t>
      </w:r>
      <w:r>
        <w:rPr>
          <w:bCs/>
          <w:spacing w:val="1"/>
        </w:rPr>
        <w:t>здание, назначение: нежилое, площадь 1603,5 кв.м, кадастровый номер: 52:21:0000102:117, расположенное по адресу: Нижегородская область, г Дзержинск, ул Гайдара, д 7;</w:t>
      </w:r>
    </w:p>
    <w:p>
      <w:pPr>
        <w:pStyle w:val="Normal"/>
        <w:widowControl w:val="false"/>
        <w:ind w:firstLine="709"/>
        <w:jc w:val="both"/>
        <w:rPr>
          <w:bCs/>
          <w:color w:val="000000"/>
        </w:rPr>
      </w:pPr>
      <w:r>
        <w:rPr>
          <w:bCs/>
          <w:spacing w:val="1"/>
        </w:rPr>
        <w:t>2) нежилое здание, назначение: нежилое, площадь 265 кв.м, кадастровый номер: 52:21:0000102:118, расположенное по адресу: Нижегородская область, Дзержинск г, ул Гайдара, д.7;</w:t>
      </w:r>
    </w:p>
    <w:p>
      <w:pPr>
        <w:pStyle w:val="Normal"/>
        <w:widowControl w:val="false"/>
        <w:ind w:firstLine="709"/>
        <w:jc w:val="both"/>
        <w:rPr>
          <w:bCs/>
          <w:color w:val="000000"/>
        </w:rPr>
      </w:pPr>
      <w:r>
        <w:rPr>
          <w:bCs/>
          <w:color w:val="000000"/>
          <w:spacing w:val="1"/>
        </w:rPr>
        <w:t xml:space="preserve">3) нежилое </w:t>
      </w:r>
      <w:r>
        <w:rPr>
          <w:bCs/>
          <w:spacing w:val="1"/>
        </w:rPr>
        <w:t>здание, назначение: нежилое, площадь 45,8 кв.м, кадастровый номер: 52:21:0000102:123, расположенное по адресу: Нижегородская область, Дзержинск г, ул Гайдара, д.7.</w:t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  <w:bCs/>
          <w:color w:val="000000"/>
          <w:spacing w:val="1"/>
        </w:rPr>
        <w:t>Начальная цена продажи объектов 1, 2, 3 составляет 38</w:t>
      </w:r>
      <w:r>
        <w:rPr>
          <w:b/>
          <w:bCs/>
          <w:spacing w:val="1"/>
        </w:rPr>
        <w:t> 342 000 (Тридцать восемь миллионов триста сорок две тысячи) рублей 00 копеек, в том числе НДС.</w:t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</w:rPr>
        <w:t xml:space="preserve">Размер задатка (10%): </w:t>
      </w:r>
      <w:r>
        <w:rPr/>
        <w:t>3</w:t>
      </w:r>
      <w:r>
        <w:rPr>
          <w:color w:val="000000"/>
        </w:rPr>
        <w:t> </w:t>
      </w:r>
      <w:r>
        <w:rPr/>
        <w:t>834 200,0 (Три миллиона восемьсот тридцать четыре тысячи двести) рублей 00 копеек.</w:t>
      </w:r>
    </w:p>
    <w:p>
      <w:pPr>
        <w:pStyle w:val="BodyText2"/>
        <w:widowControl w:val="false"/>
        <w:ind w:firstLine="720"/>
        <w:jc w:val="both"/>
        <w:rPr>
          <w:color w:val="000000"/>
        </w:rPr>
      </w:pPr>
      <w:r>
        <w:rPr>
          <w:b/>
          <w:bCs/>
          <w:color w:val="000000"/>
          <w:spacing w:val="1"/>
        </w:rPr>
        <w:t xml:space="preserve">Шаг аукциона (5%): </w:t>
      </w:r>
      <w:r>
        <w:rPr>
          <w:color w:val="000000"/>
          <w:spacing w:val="1"/>
        </w:rPr>
        <w:t>1 917 100,00 (Один миллион девятьсот семнадцать тысяч сто) рублей 00 копеек.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/>
      </w:pPr>
      <w:r>
        <w:rPr/>
        <w:t>В соответствии со ст. 28 ФЗ «О приватизации государственного и муниципального имущества» № 178-ФЗ от 21.12.2001 г. приватизация зданий, строений и сооружений осуществляется одновременно с отчуждением лицу, приобретающему такое имущество, земельных участков, занимаемых таким имуществом.</w:t>
      </w:r>
    </w:p>
    <w:p>
      <w:pPr>
        <w:pStyle w:val="Normal"/>
        <w:widowControl w:val="false"/>
        <w:ind w:firstLine="709"/>
        <w:jc w:val="both"/>
        <w:rPr>
          <w:bCs/>
          <w:color w:val="000000"/>
        </w:rPr>
      </w:pPr>
      <w:r>
        <w:rPr>
          <w:bCs/>
          <w:color w:val="000000" w:themeColor="text1"/>
        </w:rPr>
        <w:t xml:space="preserve">Объекты недвижимости расположены на земельном участке </w:t>
      </w:r>
      <w:r>
        <w:rPr>
          <w:color w:val="000000" w:themeColor="text1"/>
        </w:rPr>
        <w:t>площадью 16 196 </w:t>
      </w:r>
      <w:r>
        <w:rPr>
          <w:bCs/>
          <w:color w:val="000000" w:themeColor="text1"/>
        </w:rPr>
        <w:t xml:space="preserve">кв.м, кадастровый номер: </w:t>
      </w:r>
      <w:r>
        <w:rPr>
          <w:color w:val="000000" w:themeColor="text1"/>
        </w:rPr>
        <w:t>52:21:0000102:1</w:t>
      </w:r>
      <w:r>
        <w:rPr>
          <w:bCs/>
          <w:color w:val="000000" w:themeColor="text1"/>
        </w:rPr>
        <w:t>, категория земель: земли населенных пунктов, вид разрешенного использования:</w:t>
      </w:r>
      <w:r>
        <w:rPr>
          <w:bCs/>
          <w:color w:val="000000"/>
        </w:rPr>
        <w:t xml:space="preserve"> для эксплуатации зданий и сооружений городской детской больницы № 8, местоположение: Местоположение установлено относительно ориентира, расположенного в границах участка. Почтовый адрес ориентира:</w:t>
      </w:r>
      <w:r>
        <w:rPr>
          <w:spacing w:val="1"/>
        </w:rPr>
        <w:t xml:space="preserve"> обл. Нижегородская, г. Дзержинск, ул. Гайдара, дом 7.</w:t>
      </w:r>
    </w:p>
    <w:p>
      <w:pPr>
        <w:pStyle w:val="Normal"/>
        <w:widowControl w:val="false"/>
        <w:ind w:firstLine="709"/>
        <w:jc w:val="both"/>
        <w:rPr>
          <w:bCs/>
          <w:color w:val="000000"/>
        </w:rPr>
      </w:pPr>
      <w:r>
        <w:rPr>
          <w:bCs/>
          <w:color w:val="000000"/>
        </w:rPr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  <w:spacing w:val="1"/>
        </w:rPr>
        <w:t>Особые условия в использовании земельным участком установлены в ЕГРН:</w:t>
      </w:r>
    </w:p>
    <w:tbl>
      <w:tblPr>
        <w:tblW w:w="9075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noVBand="1" w:noHBand="0" w:lastColumn="0" w:firstColumn="1" w:lastRow="0" w:firstRow="1"/>
      </w:tblPr>
      <w:tblGrid>
        <w:gridCol w:w="1648"/>
        <w:gridCol w:w="961"/>
        <w:gridCol w:w="6466"/>
      </w:tblGrid>
      <w:tr>
        <w:trPr/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38"/>
              <w:widowControl w:val="false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Учетный номер части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38"/>
              <w:widowControl w:val="false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Площадь, м2</w:t>
            </w:r>
          </w:p>
        </w:tc>
        <w:tc>
          <w:tcPr>
            <w:tcW w:w="6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8"/>
              <w:widowControl w:val="false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Содержание ограничения в использовании или ограничения права на объект недвижимости или обременения объекта недвижимости</w:t>
            </w:r>
          </w:p>
        </w:tc>
      </w:tr>
      <w:tr>
        <w:trPr/>
        <w:tc>
          <w:tcPr>
            <w:tcW w:w="164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8"/>
              <w:widowControl w:val="false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52:21:0000102:1/1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8"/>
              <w:widowControl w:val="false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152</w:t>
            </w:r>
          </w:p>
        </w:tc>
        <w:tc>
          <w:tcPr>
            <w:tcW w:w="64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8"/>
              <w:widowControl w:val="false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Вид ограничения (обременения): ограничения прав на земельный участок, предусмотренные статьей 56 Земельного кодекса Российской Федерации; Срок действия: не установлен; реквизиты документа-основания: постановление "О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зон" от 24.02.0009 №160 выдан: Правительство Российской Федерации; Содержание ограничения (обременения): Правила охраны электрических сетей утверждены постановлением Правительства РФ от 24 февраля 2009 г. №160 "О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зон".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 а) размещать любые объекты и предметы (материалы) в пределах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 б)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 линий электропередачи; в) размещать свалки; г)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 В охранных зонах, установленных для объектов электросетевого хозяйства напряжением свыше 1000 вольт, помимо действий, предусмотренных пунктом 8 настоящих Правил, запрещается: а) складировать или размещать хранилища любых, в том числе горюче-смазочных, материалов; 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 в)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электропередачи). В пределах охранных зон без письменного решения о согласовании сетевых организаций юридическим и физическим лицам запрещаются: а) строительство, капитальный ремонт, реконструкция или снос зданий и сооружений; б) горные, взрывные, мелиоративные работы, в том числе связанные с временным затоплением земель; в) посадка и вырубка деревьев и кустарников; 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 д)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 ж)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 вспашкой земли (в охранных зонах кабельных линий электропередачи).; Реестровый номер границы: 52:21-6.865; Вид объекта реестра границ: Зона с особыми условиями использования территории; Вид зоны по документу: Охранная зона объекта электросетевого хозяйства КЛ 6 кВ от ТП №69 до ТП №122, Нижегородская область, г.Дзержинск , ул. Гайдара; Тип зоны: Охранная зона инженерных коммуникаций</w:t>
            </w:r>
          </w:p>
        </w:tc>
      </w:tr>
      <w:tr>
        <w:trPr/>
        <w:tc>
          <w:tcPr>
            <w:tcW w:w="164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8"/>
              <w:widowControl w:val="false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52:21:0000102:1/2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8"/>
              <w:widowControl w:val="false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127</w:t>
            </w:r>
          </w:p>
        </w:tc>
        <w:tc>
          <w:tcPr>
            <w:tcW w:w="64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8"/>
              <w:widowControl w:val="false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Вид ограничения (обременения): ограничения прав на земельный участок, предусмотренные статьей 56 Земельного кодекса Российской Федерации; Срок действия: не установлен; реквизиты документа-основания: постановление "О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зон" от 24.02.2009 №160 выдан: Правительство Российской Федерации; Содержание ограничения (обременения): Правила охраны электрических сетей утверждены постановлением Правительства РФ от 24 февраля 2009 г. №160 "О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зон".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 а) размещать любые объекты и предметы (материалы) в пределах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 б)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 линий электропередачи; в) размещать свалки; г)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 В охранных зонах, установленных для объектов электросетевого хозяйства напряжением свыше 1000 вольт, помимо действий, предусмотренных пунктом 8 настоящих Правил, запрещается: а) складировать или размещать хранилища любых, в том числе горюче-смазочных, материалов; 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 в)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электропередачи). В пределах охранных зон без письменного решения о согласовании сетевых организаций юридическим и физическим лицам запрещаются: а) строительство, капитальный ремонт, реконструкция или снос зданий и сооружений; б) горные, взрывные, мелиоративные работы, в том числе связанные с временным затоплением земель; в) посадка и вырубка деревьев и кустарников; 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 д)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 ж)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 вспашкой земли (в охранных зонах кабельных линий электропередачи).; Реестровый номер границы: 52:21-6.918; Вид объекта реестра границ: Зона с особыми условиями использования территории; Вид зоны по документу: Охранная зона объекта электросетевого хозяйства КЛ 6 кВ от ТП №69 до ТП №234, Нижегородская область, г.Дзержинск , ул. Гайдара; Тип зоны: Охранная зона инженерных коммуникаций</w:t>
            </w:r>
          </w:p>
        </w:tc>
      </w:tr>
      <w:tr>
        <w:trPr/>
        <w:tc>
          <w:tcPr>
            <w:tcW w:w="164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8"/>
              <w:widowControl w:val="false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52:21:0000102:1/3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8"/>
              <w:widowControl w:val="false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503</w:t>
            </w:r>
          </w:p>
        </w:tc>
        <w:tc>
          <w:tcPr>
            <w:tcW w:w="64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8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ограничения (обременения): ограничения прав на земельный участок, предусмотренные статьей 56 Земельного кодекса Российской Федерации; Срок действия: не установлен; реквизиты документа-основания: приказ "О Типовых правилах охраны коммунальных тепловых сетей" от 17.08.1992 №197; Содержание ограничения (обременения): В соответствии с п.п. 5, 6 Типовых правил охраны коммунальных тепловых сетей, утвержденных Приказом Минстроя России от 17 августа 1992 г. №197 в пределах охранных зон тепловых сетей не допускается: 5. В пределах охранных зон тепловых сетей не допускается производить действия, которые могут повлечь нарушения в нормальной работе тепловых сетей, их повреждение, несчастные случаи или препятствующие ремонту: - размещать автозаправочные станции, хранилища горюче-смазочных материалов, складировать агрессивные химические материалы; - загромождать подходы и подъезды к объектам и сооружениям тепловых сетей, складировать тяжелые и громоздкие материалы, возводить временные строения и заборы; - устраивать спортивные и игровые площадки, неорганизованные рынки, остановочные пункты общественного транспорта, стоянки всех видов машин и </w:t>
            </w:r>
            <w:r>
              <w:rPr>
                <w:bCs/>
                <w:color w:val="000000" w:themeColor="text1"/>
                <w:sz w:val="20"/>
                <w:szCs w:val="20"/>
              </w:rPr>
              <w:t>механизмов, гаражи, огороды и т.п.; - устраивать всякого рода свалки, разжигать костры, сжигать бытовой мусор или промышленные отходы; - производить работы ударными механизмами, производить сброс и слив едких и коррозионно-активных веществ и горюче-смазочных материалов; - проникать в помещения павильонов, центральных и индивидуальных тепловых пунктов посторонним лицам; открывать, снимать, засыпать люки камер тепловых сетей; сбрасывать в камеры мусор, отходы, снег и т.д.; - снимать покровный металлический слой тепловой изоляции; разрушать тепловую изоляцию; ходить по трубопроводам надземной прокладки (переход через трубы разрешается только по специальным переходным мостикам); - занимать подвалы зданий, особенно имеющих опасность затопления, в которых проложены тепловые сети или оборудованы тепловые вводы под мастерские, склады, для иных целей; тепловые вводы в здания должны быть загерметизированы. 6. В пределах территории охранных зон тепловых сетей без письменного согласия предприятий и организаций, в ведении которых находятся эти сети, запрещается: - производить строительство, капитальный ремонт, реконструкцию или снос любых зданий и сооружений; - производить земляные работы, планировку грунта, посадку деревьев и кустарников, устраивать монументальные клумбы; - производить погрузочно-разгрузочные работы, а также работы, связанные с разбиванием грунта и дорожных покрытий; - сооружать переезды и переходы через трубопроводы тепловых сетей.; Реестровый номер границы: 52:21-6.2355; Вид объекта реестра границ: Зона с особыми условиями использования территории; Вид зоны по документу: Охранная зона коммунальных тепловых сетей: Магистраль системы отопления от внутриквартальной камеры ТК8Б до здания котельной №3, от здания котельной №3 до ТК7, расположенные по адресу ул. Гайдара, д. №7 кадастровый №52:21:0000000:4081 (источник котельная 27); Тип зоны: Охранная зона инженерных коммуникаций</w:t>
            </w:r>
          </w:p>
        </w:tc>
      </w:tr>
      <w:tr>
        <w:trPr/>
        <w:tc>
          <w:tcPr>
            <w:tcW w:w="26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8"/>
              <w:widowControl w:val="false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Особые отметки:</w:t>
            </w:r>
          </w:p>
        </w:tc>
        <w:tc>
          <w:tcPr>
            <w:tcW w:w="64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8"/>
              <w:widowControl w:val="false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Посредством данного земельного участка обеспечен доступ к земельному участку (земельным участкам) с кадастровым номером (кадастровыми номерами): 52:21:0000102:459. Сведения об ограничениях права на объект недвижимости, обременениях данного объекта, не зарегистрированных в реестре прав, ограничений прав и обременений недвижимого имущества: вид ограничения (обременения): ограничения прав на земельный участок, предусмотренные статьей 56 Земельного кодекса Российской Федерации; срок действия: c 26.01.2022; реквизиты документа-основания: постановление "О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зон" от 24.02.0009 №160 выдан: Правительство Российской Федерации. вид ограничения (обременения): ограничения прав на земельный участок, предусмотренные статьей 56 Земельного кодекса Российской Федерации; срок действия: c 22.02.2022; реквизиты документа-основания: постановление "О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зон" от 24.02.2009 №160 выдан: Правительство Российской Федерации. вид ограничения (обременения): ограничения прав на земельный участок, предусмотренные статьей 56 Земельного кодекса Российской Федерации; срок действия: c 01.06.2023; реквизиты документа-основания: приказ "О Типовых правилах охраны коммунальных тепловых сетей" от 17.08.1992 №197.</w:t>
            </w:r>
          </w:p>
        </w:tc>
      </w:tr>
    </w:tbl>
    <w:p>
      <w:pPr>
        <w:pStyle w:val="Normal"/>
        <w:widowControl w:val="false"/>
        <w:ind w:firstLine="709"/>
        <w:jc w:val="both"/>
        <w:rPr>
          <w:bCs/>
          <w:color w:val="000000"/>
        </w:rPr>
      </w:pPr>
      <w:r>
        <w:rPr>
          <w:bCs/>
          <w:color w:val="000000"/>
        </w:rPr>
      </w:r>
    </w:p>
    <w:p>
      <w:pPr>
        <w:pStyle w:val="Normal"/>
        <w:widowControl w:val="false"/>
        <w:ind w:firstLine="709"/>
        <w:jc w:val="both"/>
        <w:rPr>
          <w:bCs/>
          <w:color w:val="000000"/>
        </w:rPr>
      </w:pPr>
      <w:r>
        <w:rPr>
          <w:b/>
          <w:bCs/>
          <w:spacing w:val="1"/>
        </w:rPr>
        <w:t>Стоимость земельного участка в размере 96 263 000 (Девяносто шесть миллионов двести шестьдесят три тысяч) рублей 00 копеек, (НДС не облагается)</w:t>
      </w:r>
      <w:r>
        <w:rPr>
          <w:spacing w:val="1"/>
        </w:rPr>
        <w:t xml:space="preserve"> оплачивается единовременным платежом победителем торгов либо лицом, признанным единственным участником торгов, по договору купли-продажи муниципального имущества в течение 30 календарных дней с даты заключения договора купли-продажи.</w:t>
      </w:r>
    </w:p>
    <w:p>
      <w:pPr>
        <w:pStyle w:val="Normal"/>
        <w:widowControl w:val="false"/>
        <w:ind w:firstLine="709"/>
        <w:jc w:val="both"/>
        <w:rPr>
          <w:b/>
          <w:b/>
          <w:bCs/>
          <w:color w:val="00B0F0"/>
        </w:rPr>
      </w:pPr>
      <w:r>
        <w:rPr>
          <w:b/>
          <w:bCs/>
          <w:color w:val="000000"/>
          <w:spacing w:val="1"/>
        </w:rPr>
        <w:t xml:space="preserve">Обязательным условием приватизации объектов по лоту №2 является сохранение их </w:t>
      </w:r>
      <w:bookmarkStart w:id="0" w:name="_GoBack"/>
      <w:bookmarkEnd w:id="0"/>
      <w:r>
        <w:rPr>
          <w:b/>
          <w:bCs/>
          <w:color w:val="000000"/>
          <w:spacing w:val="1"/>
        </w:rPr>
        <w:t>назначения (здравоохранение) в течение 3 (трех) лет с даты перехода права собственности на них к покупателю в соответствии с п.4 ст. 30 Федерального закона от 21.12.2001 года №178-ФЗ.</w:t>
      </w:r>
    </w:p>
    <w:p>
      <w:pPr>
        <w:pStyle w:val="Normal"/>
        <w:widowControl w:val="false"/>
        <w:ind w:firstLine="709"/>
        <w:jc w:val="both"/>
        <w:rPr/>
      </w:pPr>
      <w:r>
        <w:rPr/>
        <w:t>Решение об условиях приватизации находящегося в муниципальной собственности имущества принято постановлением администрации города Дзержинска Нижегородской области от 31.07.2026 года № 5830.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color w:val="000000"/>
          <w:spacing w:val="-1"/>
        </w:rPr>
        <w:t xml:space="preserve">Информация о предыдущих торгах: </w:t>
      </w:r>
      <w:r>
        <w:rPr>
          <w:bCs/>
          <w:spacing w:val="1"/>
        </w:rPr>
        <w:t>аукционы по продаже муниципального имущества в электронной форме от 10.11.2025 года и 25.12.2025 года признаны несостоявшимися по причине отсутствия заявок.</w:t>
      </w:r>
    </w:p>
    <w:p>
      <w:pPr>
        <w:pStyle w:val="Normal"/>
        <w:widowControl w:val="false"/>
        <w:jc w:val="center"/>
        <w:rPr/>
      </w:pPr>
      <w:r>
        <w:rPr/>
        <w:t>_______________________________</w:t>
      </w:r>
    </w:p>
    <w:p>
      <w:pPr>
        <w:pStyle w:val="Normal"/>
        <w:widowControl w:val="false"/>
        <w:ind w:firstLine="709"/>
        <w:jc w:val="both"/>
        <w:rPr>
          <w:b/>
          <w:b/>
          <w:u w:val="single"/>
        </w:rPr>
      </w:pPr>
      <w:r>
        <w:rPr>
          <w:b/>
          <w:u w:val="single"/>
        </w:rPr>
      </w:r>
    </w:p>
    <w:p>
      <w:pPr>
        <w:pStyle w:val="Normal"/>
        <w:widowControl w:val="false"/>
        <w:ind w:firstLine="709"/>
        <w:jc w:val="both"/>
        <w:rPr/>
      </w:pPr>
      <w:r>
        <w:rPr/>
        <w:t xml:space="preserve">Документооборот между Претендентами, участниками торгов, Продавцом и Организатором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Претендента. 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торгов, Продавца либо Организатора и отправитель несет ответственность за подлинность и достоверность таких документов и сведений (электронные документы, направляемые Организатором либо размещенные им на электронной площадке, должны быть подписаны усиленной квалифицированной электронной подписью лица, имеющего права действовать от имени Организатора). </w:t>
      </w:r>
    </w:p>
    <w:p>
      <w:pPr>
        <w:pStyle w:val="Normal"/>
        <w:widowControl w:val="false"/>
        <w:ind w:firstLine="709"/>
        <w:jc w:val="both"/>
        <w:rPr/>
      </w:pPr>
      <w:r>
        <w:rPr/>
        <w:t>Информационное сообщение о проведении аукциона по продаже имущества и условиях его проведения являются условиями публичной оферты в соответствии со статьей 437 Гражданского кодекса Российской Федерации. Подача Претендентом заявки и перечисление задатка являются акцептом такой оферты, и договор о задатке считается заключенным в письменной форме.</w:t>
      </w:r>
    </w:p>
    <w:p>
      <w:pPr>
        <w:pStyle w:val="Normal"/>
        <w:widowControl w:val="false"/>
        <w:ind w:firstLine="709"/>
        <w:jc w:val="both"/>
        <w:rPr/>
      </w:pPr>
      <w:r>
        <w:rPr>
          <w:b/>
        </w:rPr>
        <w:t>Задаток</w:t>
      </w:r>
      <w:r>
        <w:rPr/>
        <w:t xml:space="preserve"> для участия в аукционе служит обеспечением исполнения обязательства победителя аукциона по заключению договора купли-продажи и оплате приобретенного на торгах имущества, вносится единым платежом на расчетный счет Претендента, открытый при регистрации на электронной площадке. </w:t>
      </w:r>
    </w:p>
    <w:p>
      <w:pPr>
        <w:pStyle w:val="Normal"/>
        <w:widowControl w:val="false"/>
        <w:ind w:firstLine="709"/>
        <w:jc w:val="both"/>
        <w:rPr/>
      </w:pPr>
      <w:r>
        <w:rPr/>
        <w:t>Платежи по перечислению задатка для участия в торгах и порядок возврата задатка осуществляются в соответствии с Регламентом электронной площадки.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  <w:t>Задаток возвращается:</w:t>
      </w:r>
    </w:p>
    <w:p>
      <w:pPr>
        <w:pStyle w:val="Normal"/>
        <w:widowControl w:val="false"/>
        <w:jc w:val="both"/>
        <w:rPr>
          <w:color w:val="000000"/>
        </w:rPr>
      </w:pPr>
      <w:r>
        <w:rPr>
          <w:color w:val="000000"/>
        </w:rPr>
        <w:tab/>
        <w:t>а) участникам аукциона, за исключением победителя, лица, подавшего предпоследнее предложение о цене, или лица, признанного единственным участником аукциона - в течение 5 календарных дней со дня подведения итогов продажи имущества;</w:t>
      </w:r>
    </w:p>
    <w:p>
      <w:pPr>
        <w:pStyle w:val="Normal"/>
        <w:widowControl w:val="false"/>
        <w:jc w:val="both"/>
        <w:rPr>
          <w:color w:val="000000"/>
        </w:rPr>
      </w:pPr>
      <w:r>
        <w:rPr>
          <w:color w:val="000000"/>
        </w:rPr>
        <w:tab/>
        <w:t>б) претендентам, не допущенным к участию в продаже имущества - в течение 5 календарных дней со дня подписания протокола о признании претендентов участниками;</w:t>
      </w:r>
    </w:p>
    <w:p>
      <w:pPr>
        <w:pStyle w:val="Normal"/>
        <w:widowControl w:val="false"/>
        <w:jc w:val="both"/>
        <w:rPr>
          <w:color w:val="000000"/>
        </w:rPr>
      </w:pPr>
      <w:r>
        <w:rPr>
          <w:color w:val="000000"/>
        </w:rPr>
        <w:tab/>
        <w:t>в) лицу, подавшему предпоследнее предложение о цене - в течение 5 календарных дней со дня заключения договора купли-продажи имущества с покупателем.</w:t>
      </w:r>
    </w:p>
    <w:p>
      <w:pPr>
        <w:pStyle w:val="Normal"/>
        <w:jc w:val="both"/>
        <w:rPr>
          <w:color w:val="000000"/>
        </w:rPr>
      </w:pPr>
      <w:r>
        <w:rPr>
          <w:color w:val="000000"/>
        </w:rPr>
        <w:tab/>
        <w:t>Задаток, перечисленный победителем аукциона/единственным участником аукциона, засчитывается в сумму платежа по договору купли-продажи, заключаемому по итогам проведения торгов,</w:t>
      </w:r>
      <w:r>
        <w:rPr>
          <w:rFonts w:eastAsia="Calibri"/>
          <w:color w:val="000000"/>
        </w:rPr>
        <w:t xml:space="preserve"> и перечисляется Организатором на счет Продавца в течение 5 календарных дней со дня </w:t>
      </w:r>
      <w:r>
        <w:rPr>
          <w:color w:val="000000"/>
        </w:rPr>
        <w:t>подведения итогов аукциона.</w:t>
      </w:r>
    </w:p>
    <w:p>
      <w:pPr>
        <w:pStyle w:val="Default"/>
        <w:jc w:val="both"/>
        <w:rPr/>
      </w:pPr>
      <w:r>
        <w:rPr/>
        <w:tab/>
        <w:t>При уклонении или отказе победителя аукциона/единственного участника аукциона от заключения в установленный срок договора купли-продажи, заключаемого по итогам проведения торгов, победитель аукциона/единственный участник аукциона утрачивает право на заключение указанного договора, задаток не возвращается.</w:t>
      </w:r>
    </w:p>
    <w:p>
      <w:pPr>
        <w:pStyle w:val="Default"/>
        <w:jc w:val="both"/>
        <w:rPr>
          <w:rFonts w:eastAsia="Calibri"/>
          <w:b/>
          <w:b/>
          <w:bCs/>
        </w:rPr>
      </w:pPr>
      <w:r>
        <w:rPr>
          <w:rFonts w:eastAsia="Calibri"/>
          <w:bCs/>
          <w:color w:val="auto"/>
        </w:rPr>
        <w:tab/>
      </w:r>
      <w:r>
        <w:rPr>
          <w:rFonts w:eastAsia="Calibri"/>
          <w:bCs/>
        </w:rPr>
        <w:t xml:space="preserve">К участию в аукционе допускаются лица, которые могут быть в соответствии со статьей 5 </w:t>
      </w:r>
      <w:r>
        <w:rPr/>
        <w:t>Закона о приватизации</w:t>
      </w:r>
      <w:r>
        <w:rPr>
          <w:rFonts w:eastAsia="Calibri"/>
          <w:bCs/>
        </w:rPr>
        <w:t xml:space="preserve"> Покупателями, своевременно подавшие заявку и представившие надлежащим образом оформленные документы в соответствии с перечнем, объявленным в информационном сообщении, задатки которых поступили на счет Организатора продажи в установленный в информационном сообщении срок.</w:t>
      </w:r>
    </w:p>
    <w:p>
      <w:pPr>
        <w:pStyle w:val="Normal"/>
        <w:ind w:firstLine="720"/>
        <w:jc w:val="both"/>
        <w:rPr>
          <w:rFonts w:eastAsia="Calibri"/>
          <w:bCs/>
          <w:color w:val="000000"/>
        </w:rPr>
      </w:pPr>
      <w:r>
        <w:rPr>
          <w:rFonts w:eastAsia="Calibri"/>
          <w:bCs/>
          <w:color w:val="000000"/>
        </w:rPr>
      </w:r>
    </w:p>
    <w:p>
      <w:pPr>
        <w:pStyle w:val="Rezul"/>
        <w:ind w:firstLine="709"/>
        <w:jc w:val="center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Исчерпывающий перечень представляемых участниками продажи документов, требования к их оформлению: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26"/>
        <w:rPr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Заявка (приложение №1 к информационному сообщению) подается путем заполнения ее электронной формы (заполненный файл с заявкой загружается на электронную площадку),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необходимых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подписью, предусмотренных Федеральным законом о приватизации:</w:t>
      </w:r>
      <w:r>
        <w:rPr>
          <w:sz w:val="24"/>
          <w:szCs w:val="24"/>
          <w:lang w:val="ru-RU"/>
        </w:rPr>
        <w:t xml:space="preserve"> 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54"/>
        <w:rPr>
          <w:rFonts w:eastAsia="Calibri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  <w:t>Для участия в аукционе о</w:t>
      </w:r>
      <w:r>
        <w:rPr>
          <w:rFonts w:eastAsia="Calibri"/>
          <w:bCs/>
          <w:color w:val="000000"/>
          <w:sz w:val="24"/>
          <w:szCs w:val="24"/>
          <w:lang w:val="ru-RU"/>
        </w:rPr>
        <w:t xml:space="preserve">дновременно с заявкой </w:t>
      </w: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(приложение 1 к информационному сообщению)</w:t>
      </w:r>
      <w:r>
        <w:rPr>
          <w:rFonts w:eastAsia="Calibri"/>
          <w:bCs/>
          <w:color w:val="000000"/>
          <w:sz w:val="24"/>
          <w:szCs w:val="24"/>
          <w:lang w:val="ru-RU" w:eastAsia="ru-RU"/>
        </w:rPr>
        <w:t xml:space="preserve"> представляются следующие документы: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54"/>
        <w:rPr>
          <w:rFonts w:eastAsia="Calibri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  <w:t>Для юридических лиц: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26"/>
        <w:rPr>
          <w:rFonts w:eastAsia="Calibri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  <w:t xml:space="preserve">- </w:t>
      </w: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заявка на участие в аукционе, заполненная в форме электронного документа (Приложение № 1);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26"/>
        <w:rPr>
          <w:rFonts w:eastAsia="Calibri"/>
          <w:b w:val="false"/>
          <w:b w:val="false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- заверенные копии учредительных документов;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26"/>
        <w:rPr>
          <w:rFonts w:eastAsia="Calibri"/>
          <w:b w:val="false"/>
          <w:b w:val="false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- 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26"/>
        <w:rPr>
          <w:rFonts w:eastAsia="Calibri"/>
          <w:b w:val="false"/>
          <w:b w:val="false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26"/>
        <w:rPr>
          <w:rFonts w:eastAsia="Calibri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  <w:t>Файл с заявкой и документы необходимо загрузить на электронную площадку АО «Российский аукционный дом» (https://lot-online.ru/).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54"/>
        <w:rPr>
          <w:rFonts w:eastAsia="Calibri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  <w:t>Для физических лиц: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26"/>
        <w:rPr>
          <w:rFonts w:eastAsia="Calibri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  <w:t xml:space="preserve">- </w:t>
      </w: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заявка на участие в продаже, заполненная в форме электронного документа (Приложение № 1);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54"/>
        <w:rPr>
          <w:rFonts w:eastAsia="Calibri"/>
          <w:b w:val="false"/>
          <w:b w:val="false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- копия паспорта (всех его листов).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54"/>
        <w:rPr>
          <w:rFonts w:eastAsia="Calibri"/>
          <w:b w:val="false"/>
          <w:b w:val="false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  <w:t>Файл с заявкой и документы необходимо загрузить на электронную площадку АО «Российский аукционный дом» (https://lot-online.ru/).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54"/>
        <w:rPr>
          <w:rFonts w:eastAsia="Calibri"/>
          <w:b w:val="false"/>
          <w:b w:val="false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54"/>
        <w:rPr>
          <w:rFonts w:eastAsia="Calibri"/>
          <w:b w:val="false"/>
          <w:b w:val="false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Требования к документам: указанные документы в части их оформления и содержания должны соответствовать требованиям законодательства Российской Федерации; представленные иностранными юридическими лицами документы должны быть легализированы на территории Российской Федерации и иметь заверенный перевод на русский язык.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54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Заявка и иные представленные одновременно с ней документы подаются в форме электронных документов.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54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Заявки подаются на электронную площадку начиная с даты начала приема заявок до времени и даты окончания приема заявок, указанных в информационном сообщении. Одно лицо имеет право подать только одну заявку.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54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x-none"/>
        </w:rPr>
        <w:t xml:space="preserve">При приеме заявок от Претендентов 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 xml:space="preserve">Организатор </w:t>
      </w:r>
      <w:r>
        <w:rPr>
          <w:rFonts w:eastAsia="Calibri"/>
          <w:b w:val="false"/>
          <w:bCs/>
          <w:color w:val="000000"/>
          <w:sz w:val="24"/>
          <w:szCs w:val="24"/>
          <w:lang w:val="x-none"/>
        </w:rPr>
        <w:t xml:space="preserve">обеспечивает конфиденциальность данных о 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Претендентах</w:t>
      </w:r>
      <w:r>
        <w:rPr>
          <w:rFonts w:eastAsia="Calibri"/>
          <w:b w:val="false"/>
          <w:bCs/>
          <w:color w:val="000000"/>
          <w:sz w:val="24"/>
          <w:szCs w:val="24"/>
          <w:lang w:val="x-none"/>
        </w:rPr>
        <w:t xml:space="preserve"> и 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у</w:t>
      </w:r>
      <w:r>
        <w:rPr>
          <w:rFonts w:eastAsia="Calibri"/>
          <w:b w:val="false"/>
          <w:bCs/>
          <w:color w:val="000000"/>
          <w:sz w:val="24"/>
          <w:szCs w:val="24"/>
          <w:lang w:val="x-none"/>
        </w:rPr>
        <w:t>частниках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54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Организатор обеспечивает - принятие и регистрацию в электронных журналах заявок и прилагаемых к ним документов, уведомление претендентов о принятом Продавцом решении о признании их участниками либо об отказе в допуске к участию в продаже имущества.</w:t>
      </w:r>
    </w:p>
    <w:p>
      <w:pPr>
        <w:pStyle w:val="Normal"/>
        <w:ind w:firstLine="454"/>
        <w:jc w:val="both"/>
        <w:rPr/>
      </w:pPr>
      <w:r>
        <w:rPr/>
        <w:t>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54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Порядок ознакомления участников торгов с условиями договора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, заключаемого по итогам проведения торгов, порядок предоставления разъяснений положений информационного сообщения и осмотр объектов нежилого фонда: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54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 xml:space="preserve">С условиями договора, заключаемого по итогам проведения торгов, можно ознакомиться с даты размещения информационного сообщения на официальном сайте торгов до даты окончания срока приема заявок на участие в аукционе на сайтах: </w:t>
      </w:r>
      <w:hyperlink r:id="rId3">
        <w:r>
          <w:rPr>
            <w:rFonts w:eastAsia="Calibri"/>
            <w:b w:val="false"/>
            <w:bCs/>
            <w:color w:val="000000"/>
            <w:sz w:val="24"/>
            <w:szCs w:val="24"/>
            <w:lang w:val="ru-RU"/>
          </w:rPr>
          <w:t>www.torgi.gov.ru</w:t>
        </w:r>
      </w:hyperlink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,</w:t>
      </w:r>
      <w:r>
        <w:rPr>
          <w:b w:val="false"/>
          <w:sz w:val="24"/>
          <w:szCs w:val="24"/>
          <w:lang w:val="ru-RU"/>
        </w:rPr>
        <w:t xml:space="preserve"> </w:t>
      </w:r>
      <w:r>
        <w:rPr>
          <w:b w:val="false"/>
          <w:sz w:val="24"/>
          <w:szCs w:val="24"/>
        </w:rPr>
        <w:t>https</w:t>
      </w:r>
      <w:r>
        <w:rPr>
          <w:b w:val="false"/>
          <w:sz w:val="24"/>
          <w:szCs w:val="24"/>
          <w:lang w:val="ru-RU"/>
        </w:rPr>
        <w:t>://адмдзержинск.рф/</w:t>
      </w:r>
      <w:r>
        <w:rPr>
          <w:sz w:val="24"/>
          <w:szCs w:val="24"/>
          <w:lang w:val="ru-RU"/>
        </w:rPr>
        <w:t xml:space="preserve"> 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 xml:space="preserve">и на электронной площадке </w:t>
      </w:r>
      <w:r>
        <w:rPr>
          <w:b w:val="false"/>
          <w:sz w:val="24"/>
          <w:szCs w:val="24"/>
        </w:rPr>
        <w:t>www</w:t>
      </w:r>
      <w:r>
        <w:rPr>
          <w:b w:val="false"/>
          <w:sz w:val="24"/>
          <w:szCs w:val="24"/>
          <w:lang w:val="ru-RU"/>
        </w:rPr>
        <w:t>.</w:t>
      </w:r>
      <w:r>
        <w:rPr>
          <w:b w:val="false"/>
          <w:sz w:val="24"/>
          <w:szCs w:val="24"/>
        </w:rPr>
        <w:t>lot</w:t>
      </w:r>
      <w:r>
        <w:rPr>
          <w:b w:val="false"/>
          <w:sz w:val="24"/>
          <w:szCs w:val="24"/>
          <w:lang w:val="ru-RU"/>
        </w:rPr>
        <w:t>-</w:t>
      </w:r>
      <w:r>
        <w:rPr>
          <w:b w:val="false"/>
          <w:sz w:val="24"/>
          <w:szCs w:val="24"/>
        </w:rPr>
        <w:t>online</w:t>
      </w:r>
      <w:r>
        <w:rPr>
          <w:b w:val="false"/>
          <w:sz w:val="24"/>
          <w:szCs w:val="24"/>
          <w:lang w:val="ru-RU"/>
        </w:rPr>
        <w:t>.</w:t>
      </w:r>
      <w:r>
        <w:rPr>
          <w:b w:val="false"/>
          <w:sz w:val="24"/>
          <w:szCs w:val="24"/>
        </w:rPr>
        <w:t>ru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 xml:space="preserve"> (приложение №2 к информационному сообщению).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54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положений информационного сообщения и необходимостью ознакомления с иной дополнительной информацией. 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 В течение 2 (двух) рабочих дней со дня поступления запроса Продавец предоставляет Организатору для размещения в открытом доступе разъяснение с указанием предмета запроса, но без указания лица, от которого поступил запрос.</w:t>
      </w:r>
    </w:p>
    <w:p>
      <w:pPr>
        <w:pStyle w:val="Normal"/>
        <w:widowControl w:val="false"/>
        <w:ind w:firstLine="454"/>
        <w:jc w:val="both"/>
        <w:rPr/>
      </w:pPr>
      <w:r>
        <w:rPr>
          <w:rFonts w:eastAsia="Calibri"/>
          <w:bCs/>
          <w:color w:val="000000"/>
        </w:rPr>
        <w:t xml:space="preserve">С целью осмотра выставленного на продажу имущества необходимо </w:t>
      </w:r>
      <w:r>
        <w:rPr/>
        <w:t>обращаться в Комитет по управлению муниципальным имуществом администрации города Дзержинска Нижегородской области, контактный телефон: 8 (8313) 39-71-60 (доб.1025), но не позднее, чем за два рабочих дня до даты окончания подачи заявки на участие в аукционе.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b w:val="false"/>
          <w:sz w:val="24"/>
          <w:szCs w:val="24"/>
          <w:lang w:val="ru-RU" w:eastAsia="ru-RU"/>
        </w:rPr>
        <w:t xml:space="preserve">Осмотр объекта производится лицами, желающими участвовать в торгах, в период </w:t>
      </w:r>
      <w:r>
        <w:rPr>
          <w:bCs/>
          <w:sz w:val="24"/>
          <w:szCs w:val="24"/>
          <w:lang w:val="ru-RU" w:eastAsia="ru-RU"/>
        </w:rPr>
        <w:t>с 04.08</w:t>
      </w:r>
      <w:r>
        <w:rPr>
          <w:sz w:val="24"/>
          <w:szCs w:val="24"/>
          <w:lang w:val="ru-RU" w:eastAsia="ru-RU"/>
        </w:rPr>
        <w:t>.2026 по 28.08.2026</w:t>
      </w:r>
      <w:r>
        <w:rPr>
          <w:b w:val="false"/>
          <w:sz w:val="24"/>
          <w:szCs w:val="24"/>
          <w:lang w:val="ru-RU" w:eastAsia="ru-RU"/>
        </w:rPr>
        <w:t xml:space="preserve"> </w:t>
      </w:r>
      <w:r>
        <w:rPr>
          <w:bCs/>
          <w:sz w:val="24"/>
          <w:szCs w:val="24"/>
          <w:lang w:val="ru-RU" w:eastAsia="ru-RU"/>
        </w:rPr>
        <w:t>года</w:t>
      </w:r>
      <w:r>
        <w:rPr>
          <w:b w:val="false"/>
          <w:sz w:val="24"/>
          <w:szCs w:val="24"/>
          <w:lang w:val="ru-RU" w:eastAsia="ru-RU"/>
        </w:rPr>
        <w:t>, кроме выходных и праздничных дней по предварительному согласованию по указанному выше телефону.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jc w:val="center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jc w:val="center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Порядок регистрации на электронной площадке.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Для обеспечения доступа к участию в электронном аукционе Претендентам необходимо пройти процедуру регистрации на электронной площадке.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Регистрация на электронной площадке осуществляется без взимания платы.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 xml:space="preserve">Регистрация на электронной площадке проводится в соответствии с Регламентом электронной площадки </w:t>
      </w:r>
      <w:hyperlink r:id="rId4">
        <w:r>
          <w:rPr>
            <w:rFonts w:eastAsia="Calibri"/>
            <w:b w:val="false"/>
            <w:bCs/>
            <w:sz w:val="24"/>
            <w:szCs w:val="24"/>
            <w:lang w:val="ru-RU"/>
          </w:rPr>
          <w:t>www.</w:t>
        </w:r>
        <w:r>
          <w:rPr>
            <w:rFonts w:eastAsia="Calibri"/>
            <w:b w:val="false"/>
            <w:bCs/>
            <w:sz w:val="24"/>
            <w:szCs w:val="24"/>
          </w:rPr>
          <w:t>lot</w:t>
        </w:r>
        <w:r>
          <w:rPr>
            <w:rFonts w:eastAsia="Calibri"/>
            <w:b w:val="false"/>
            <w:bCs/>
            <w:sz w:val="24"/>
            <w:szCs w:val="24"/>
            <w:lang w:val="ru-RU"/>
          </w:rPr>
          <w:t>-</w:t>
        </w:r>
        <w:r>
          <w:rPr>
            <w:rFonts w:eastAsia="Calibri"/>
            <w:b w:val="false"/>
            <w:bCs/>
            <w:sz w:val="24"/>
            <w:szCs w:val="24"/>
          </w:rPr>
          <w:t>online</w:t>
        </w:r>
        <w:r>
          <w:rPr>
            <w:rFonts w:eastAsia="Calibri"/>
            <w:b w:val="false"/>
            <w:bCs/>
            <w:sz w:val="24"/>
            <w:szCs w:val="24"/>
            <w:lang w:val="ru-RU"/>
          </w:rPr>
          <w:t>.ru</w:t>
        </w:r>
      </w:hyperlink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Покупателями муниципального имущества могут быть любые физические и юридические лица,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 xml:space="preserve">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(двадцать пять) процентов, а также за исключением случаев ограничения участия лиц, предусмотренных статьей 5 Закона о приватизации.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jc w:val="center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Претендент не допускается к участию в аукционе по следующим основаниям: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Представлены не все документы в соответствии с перечнем, указанным в информационном сообщении о проведении аукциона, или оформление представленных документов не соответствует законодательству Российской Федерации.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Не</w:t>
      </w:r>
      <w:r>
        <w:rPr>
          <w:rFonts w:eastAsia="Calibri"/>
          <w:b w:val="false"/>
          <w:bCs/>
          <w:color w:val="FF0000"/>
          <w:sz w:val="24"/>
          <w:szCs w:val="24"/>
          <w:lang w:val="ru-RU"/>
        </w:rPr>
        <w:t xml:space="preserve"> 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подтверждено поступление в установленный срок задатка на счет Организатора (Порядок внесения денежных средств осуществляется в соответствии с Регламентом  электронной площадки).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Заявка подана лицом, не уполномоченным Претендентом на осуществление таких действий.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Перечень указанных оснований отказа Претенденту в участии в аукционе является исчерпывающим.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Информация об отказе в допуске к участию в аукционе размещается на официальных сайтах торгов и в открытой части электронной площадки в срок не позднее рабочего дня, следующего за днем принятия указанного решения.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jc w:val="center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jc w:val="center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Порядок и срок отзыва заявок, порядок внесения изменений в заявку.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 В случае отзыва претендентом заявки,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Изменение заявки допускается только путем подачи Претендентом новой заявки в установленные в информационном сообщении сроки о проведении аукциона, при этом первоначальная заявка должна быть отозвана.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jc w:val="center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Правила проведения продажи в электронной форме: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Рассмотрение заявок.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Для участия в аукционе Претенденты перечисляют задаток в размере 10 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(приложение 1 к информационному сообщению) с приложением электронных документов в соответствии с перечнем, приведенным в информационном сообщении.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В день определения участников аукциона, указанный в информационном сообщении, Организатор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Претендент приобретает статус участника аукциона с момента подписания протокола о признании Претендентов участниками аукциона.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 xml:space="preserve">Не позднее следующего рабочего дня после дня подписания протокола о признании Претендентов участниками аукциона всем Претендентам, подавшим заявки, Организатор торгов направляет уведомление о признании их участниками аукциона или об отказе в признании участниками аукциона с указанием оснований отказа. 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Информация о Претендентах, не допущенных к участию в аукционе, размещается в открытой части электронной площадки и на официальных сайтах торгов.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rPr>
          <w:rFonts w:eastAsia="Calibri" w:eastAsiaTheme="minorHAnsi"/>
          <w:bCs/>
          <w:sz w:val="26"/>
          <w:szCs w:val="26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Проведение процедуры аукциона должно состояться не позднее третьего рабочего дня со дня определения участников аукциона, указанного в информационном сообщении.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jc w:val="center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Проведение аукциона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Электронный аукцион проводится в указанные в информационном сообщении день и час путем последовательного повышения участниками начальной цены на величину, равную либо кратную величине «шага аукциона».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«Шаг аукциона» устанавливается Продавцом в фиксированной сумме, составляющей не более 5 (пяти) процентов начальной цены продажи, и не изменяется в течение всего аукциона.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Со времени начала проведения процедуры аукциона Организатором размещается: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(десять) минут со времени представления каждого следующего предложения. Если в течение 10 (десяти)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не поступило ни одного предложения о начальной цене имущества, то аукцион с помощью программно-аппаратных средств электронной площадки завершается. В этом случае временем окончания представления предложений о цене имущества является время завершения аукциона.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Во время проведения процедуры аукциона программными средствами электронной площадки обеспечивается: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u w:val="single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u w:val="single"/>
          <w:lang w:val="ru-RU"/>
        </w:rPr>
        <w:t xml:space="preserve">Победителем аукциона признается участник, предложивший наиболее высокую цену имущества. 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u w:val="single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u w:val="single"/>
          <w:lang w:val="ru-RU"/>
        </w:rPr>
        <w:t>В случае, если заявку на участие в аукционе подало только одно лицо, признанное единственным участником аукциона, договор заключается с таким лицом по начальной цене продажи муниципального имущества.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В случае отказа лица, признанного единственным участником аукциона, от заключения договора аукцион признается несостоявшимся.</w:t>
      </w:r>
    </w:p>
    <w:p>
      <w:pPr>
        <w:pStyle w:val="Normal"/>
        <w:ind w:firstLine="720"/>
        <w:jc w:val="both"/>
        <w:rPr/>
      </w:pPr>
      <w:r>
        <w:rPr/>
        <w:t>Протокол об итогах аукциона удостоверяет право победителя или лица, признанного единственным участником аукциона, на заключение договора купли-продажи имущества, содержит фамилию, имя, отчество (при наличии) или наименование юридического лица - победителя аукциона или лица, признанного единственным участником аукциона, цену имущества, предложенную победителем, или начальную цену имущества, в случае если лицо признано единственным участником аукциона - фамилию, имя, отчество (при наличии) или наименование юридического лица - участника продажи, который сделал предпоследнее предложение о цене такого имущества в ходе продажи (за исключением случаев, если заявку на участие в аукционе подало только одно лицо, признанное единственным участником аукциона),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аукциона, либо не позднее рабочего дня, следующего за днем подведения итогов аукциона, в случае если заявку на участие в аукционе подало только одно лицо, признанное единственным участником аукциона.</w:t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</w:rPr>
      </w:r>
    </w:p>
    <w:p>
      <w:pPr>
        <w:pStyle w:val="Normal"/>
        <w:widowControl w:val="false"/>
        <w:ind w:firstLine="709"/>
        <w:jc w:val="both"/>
        <w:rPr/>
      </w:pPr>
      <w:r>
        <w:rPr>
          <w:b/>
        </w:rPr>
        <w:t>Подведение итогов аукциона:</w:t>
      </w:r>
      <w:r>
        <w:rPr/>
        <w:t xml:space="preserve"> процедура аукциона считается завершенной со времени подписания продавцом протокола об итогах аукциона.</w:t>
      </w:r>
    </w:p>
    <w:p>
      <w:pPr>
        <w:pStyle w:val="Normal"/>
        <w:ind w:firstLine="720"/>
        <w:jc w:val="both"/>
        <w:rPr/>
      </w:pPr>
      <w:r>
        <w:rPr/>
        <w:t>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>
      <w:pPr>
        <w:pStyle w:val="Normal"/>
        <w:ind w:firstLine="720"/>
        <w:jc w:val="both"/>
        <w:rPr/>
      </w:pPr>
      <w:r>
        <w:rPr/>
        <w:t>а) наименование имущества и иные позволяющие его индивидуализировать сведения (спецификация лота);</w:t>
      </w:r>
    </w:p>
    <w:p>
      <w:pPr>
        <w:pStyle w:val="Normal"/>
        <w:ind w:firstLine="720"/>
        <w:jc w:val="both"/>
        <w:rPr/>
      </w:pPr>
      <w:bookmarkStart w:id="1" w:name="sub_95"/>
      <w:bookmarkStart w:id="2" w:name="sub_94"/>
      <w:bookmarkEnd w:id="2"/>
      <w:r>
        <w:rPr/>
        <w:t>б) цена сделки;</w:t>
      </w:r>
      <w:bookmarkEnd w:id="1"/>
    </w:p>
    <w:p>
      <w:pPr>
        <w:pStyle w:val="Normal"/>
        <w:ind w:firstLine="720"/>
        <w:jc w:val="both"/>
        <w:rPr/>
      </w:pPr>
      <w:r>
        <w:rPr/>
        <w:t>в) фамилия, имя, отчество физического лица или наименование юридического лица - победителя или лица, признанного единственным участником аукциона.</w:t>
      </w:r>
    </w:p>
    <w:p>
      <w:pPr>
        <w:pStyle w:val="Normal"/>
        <w:ind w:firstLine="720"/>
        <w:jc w:val="both"/>
        <w:rPr/>
      </w:pPr>
      <w:r>
        <w:rPr/>
        <w:t>Аукцион признается несостоявшимся в следующих случаях:</w:t>
      </w:r>
    </w:p>
    <w:p>
      <w:pPr>
        <w:pStyle w:val="Normal"/>
        <w:ind w:firstLine="720"/>
        <w:jc w:val="both"/>
        <w:rPr/>
      </w:pPr>
      <w:bookmarkStart w:id="3" w:name="sub_89"/>
      <w:bookmarkStart w:id="4" w:name="sub_92"/>
      <w:bookmarkEnd w:id="4"/>
      <w:r>
        <w:rPr/>
        <w:t>а) не было подано ни одной заявки на участие либо ни один из претендентов не признан участником;</w:t>
      </w:r>
      <w:bookmarkEnd w:id="3"/>
    </w:p>
    <w:p>
      <w:pPr>
        <w:pStyle w:val="Normal"/>
        <w:ind w:firstLine="720"/>
        <w:jc w:val="both"/>
        <w:rPr/>
      </w:pPr>
      <w:r>
        <w:rPr/>
        <w:t>б) лицо, признанное единственным участником аукциона, отказалось от заключения договора купли-продажи;</w:t>
      </w:r>
    </w:p>
    <w:p>
      <w:pPr>
        <w:pStyle w:val="Normal"/>
        <w:ind w:firstLine="720"/>
        <w:jc w:val="both"/>
        <w:rPr/>
      </w:pPr>
      <w:bookmarkStart w:id="5" w:name="sub_91"/>
      <w:r>
        <w:rPr/>
        <w:t>в) ни один из участников не сделал предложение о начальной цене имущества</w:t>
      </w:r>
      <w:bookmarkEnd w:id="5"/>
      <w:r>
        <w:rPr/>
        <w:t>;</w:t>
      </w:r>
    </w:p>
    <w:p>
      <w:pPr>
        <w:pStyle w:val="Normal"/>
        <w:ind w:firstLine="720"/>
        <w:jc w:val="both"/>
        <w:rPr/>
      </w:pPr>
      <w:r>
        <w:rPr>
          <w:color w:val="000000"/>
          <w:shd w:fill="FFFFFF" w:val="clear"/>
        </w:rPr>
        <w:t>г) в иных случаях, указанных в </w:t>
      </w:r>
      <w:r>
        <w:fldChar w:fldCharType="begin"/>
      </w:r>
      <w:r>
        <w:rPr>
          <w:shd w:fill="FFFFFF" w:val="clear"/>
          <w:color w:val="000000"/>
        </w:rPr>
        <w:instrText xml:space="preserve"> HYPERLINK "https://internet.garant.ru/" \l "/document/12148517/entry/17317"</w:instrText>
      </w:r>
      <w:r>
        <w:rPr>
          <w:shd w:fill="FFFFFF" w:val="clear"/>
          <w:color w:val="000000"/>
        </w:rPr>
        <w:fldChar w:fldCharType="separate"/>
      </w:r>
      <w:r>
        <w:rPr>
          <w:color w:val="000000"/>
          <w:shd w:fill="FFFFFF" w:val="clear"/>
        </w:rPr>
        <w:t>части 17 статьи 17</w:t>
      </w:r>
      <w:r>
        <w:rPr>
          <w:shd w:fill="FFFFFF" w:val="clear"/>
          <w:color w:val="000000"/>
        </w:rPr>
        <w:fldChar w:fldCharType="end"/>
      </w:r>
      <w:r>
        <w:rPr>
          <w:color w:val="000000"/>
          <w:shd w:fill="FFFFFF" w:val="clear"/>
          <w:vertAlign w:val="superscript"/>
        </w:rPr>
        <w:t> 3</w:t>
      </w:r>
      <w:r>
        <w:rPr>
          <w:color w:val="000000"/>
          <w:shd w:fill="FFFFFF" w:val="clear"/>
        </w:rPr>
        <w:t> Федерального закона «О защите конкуренции».</w:t>
      </w:r>
    </w:p>
    <w:p>
      <w:pPr>
        <w:pStyle w:val="Normal"/>
        <w:ind w:firstLine="720"/>
        <w:jc w:val="both"/>
        <w:rPr/>
      </w:pPr>
      <w:r>
        <w:rPr/>
        <w:t>Решение о признании аукциона несостоявшимся оформляется протоколом.</w:t>
      </w:r>
    </w:p>
    <w:p>
      <w:pPr>
        <w:pStyle w:val="Normal"/>
        <w:ind w:firstLine="720"/>
        <w:jc w:val="both"/>
        <w:rPr/>
      </w:pPr>
      <w:r>
        <w:rPr/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color w:val="000000"/>
          <w:lang w:val="ru-RU"/>
        </w:rPr>
      </w:pPr>
      <w:r>
        <w:rPr>
          <w:b w:val="false"/>
          <w:color w:val="000000"/>
          <w:sz w:val="24"/>
          <w:szCs w:val="24"/>
          <w:lang w:val="ru-RU" w:eastAsia="ru-RU"/>
        </w:rPr>
        <w:t>Заключение договора купли-продажи с победителем аукциона либо лицом, признанным единственным участником аукциона, осуществляется в электронной форме в срок не ранее чем через 10 календарных дней и не позднее 20 календарных дней со дня размещения на официальном сайте в сети «Интернет» протокола об итогах аукциона. 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lang w:val="ru-RU"/>
        </w:rPr>
      </w:pPr>
      <w:r>
        <w:rPr>
          <w:b w:val="false"/>
          <w:color w:val="000000"/>
          <w:sz w:val="24"/>
          <w:szCs w:val="24"/>
          <w:lang w:val="ru-RU"/>
        </w:rPr>
        <w:t>В случае, если от имени покупателя при подписании договора купли-продажи, заключаемого по итогам проведения торгов, действует его представитель, доверенность должна быть нотариально удостоверена в соответствии со статьей 185.1 ГК РФ.</w:t>
      </w:r>
    </w:p>
    <w:p>
      <w:pPr>
        <w:pStyle w:val="Normal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  <w:u w:val="single"/>
        </w:rPr>
        <w:t>Оплата имущества, приобретаемого на аукционе, производится победителем аукциона либо лицом, признанным единственным участником аукциона, в размере и сроки, которые указаны в договоре купли-продажи имущества, путем перечисления денежных средств по следующим реквизитам:</w:t>
      </w:r>
    </w:p>
    <w:p>
      <w:pPr>
        <w:pStyle w:val="Normal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jc w:val="both"/>
        <w:rPr>
          <w:color w:val="000000"/>
          <w:u w:val="single"/>
        </w:rPr>
      </w:pPr>
      <w:r>
        <w:rPr>
          <w:color w:val="000000"/>
        </w:rPr>
        <w:tab/>
      </w:r>
      <w:r>
        <w:rPr>
          <w:color w:val="000000"/>
          <w:u w:val="single"/>
        </w:rPr>
        <w:t>Получатель</w:t>
      </w:r>
      <w:r>
        <w:rPr>
          <w:color w:val="000000"/>
        </w:rPr>
        <w:t xml:space="preserve">: ИНН 5249022227 КПП 524901001 </w:t>
      </w:r>
    </w:p>
    <w:p>
      <w:pPr>
        <w:pStyle w:val="ListBullet3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>УФК по Нижегородской области (Комитет по управлению муниципальным имуществом администрации г.Дзержинска Нижегородской области)</w:t>
      </w:r>
    </w:p>
    <w:p>
      <w:pPr>
        <w:pStyle w:val="ListBullet3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>Банк: ОКЦ № 1 ВВГУ Банка России// УФК по Нижегородской области г.Нижний Новгород,</w:t>
      </w:r>
    </w:p>
    <w:p>
      <w:pPr>
        <w:pStyle w:val="ListBullet3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>р/счет 03100643000000013200 , БИК 012202102, ОКТМО 22721000,</w:t>
      </w:r>
    </w:p>
    <w:p>
      <w:pPr>
        <w:pStyle w:val="ListBullet3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к/счет 40102810745370000024 </w:t>
      </w:r>
    </w:p>
    <w:p>
      <w:pPr>
        <w:pStyle w:val="ListBullet3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>КБК 00111413040040001410</w:t>
      </w:r>
    </w:p>
    <w:p>
      <w:pPr>
        <w:pStyle w:val="ListBullet3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ab/>
        <w:t>Юридические лица и физические лица, зарегистрированные в качестве индивидуальных предпринимателей, являются налоговыми агентами по уплате НДС в соответствии со ст.161 НК РФ и оплачивают НДС по месту своей постановки на налоговый учет. Факт уплаты НДС подтверждается покупателем платежным поручением с отметкой банка об исполнении.</w:t>
      </w:r>
    </w:p>
    <w:p>
      <w:pPr>
        <w:pStyle w:val="Normal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ab/>
        <w:t>Форма оплаты по договору купли-продажи: безналичная.</w:t>
      </w:r>
    </w:p>
    <w:p>
      <w:pPr>
        <w:pStyle w:val="Normal"/>
        <w:jc w:val="both"/>
        <w:rPr/>
      </w:pPr>
      <w:bookmarkStart w:id="6" w:name="sub_662"/>
      <w:bookmarkEnd w:id="6"/>
      <w:r>
        <w:rPr/>
        <w:tab/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</w:t>
      </w:r>
      <w:r>
        <w:rPr>
          <w:color w:val="000000"/>
        </w:rPr>
        <w:t xml:space="preserve"> полной оплаты имущес</w:t>
      </w:r>
      <w:r>
        <w:rPr/>
        <w:t>тва.</w:t>
      </w:r>
    </w:p>
    <w:p>
      <w:pPr>
        <w:pStyle w:val="Normal"/>
        <w:widowControl w:val="false"/>
        <w:jc w:val="both"/>
        <w:rPr>
          <w:rFonts w:eastAsia="Calibri"/>
          <w:bCs/>
          <w:color w:val="000000"/>
          <w:lang w:eastAsia="en-US"/>
        </w:rPr>
      </w:pPr>
      <w:r>
        <w:rPr>
          <w:rFonts w:eastAsia="Calibri"/>
          <w:bCs/>
          <w:color w:val="000000"/>
          <w:lang w:eastAsia="en-US"/>
        </w:rPr>
      </w:r>
    </w:p>
    <w:p>
      <w:pPr>
        <w:pStyle w:val="11"/>
        <w:widowControl w:val="false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1"/>
        <w:widowControl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КУМИ </w:t>
        <w:tab/>
        <w:tab/>
        <w:tab/>
        <w:tab/>
        <w:tab/>
        <w:tab/>
        <w:tab/>
        <w:t xml:space="preserve">     Д.М. Чепеленко</w:t>
      </w:r>
    </w:p>
    <w:p>
      <w:pPr>
        <w:pStyle w:val="11"/>
        <w:widowControl w:val="false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1"/>
        <w:widowControl w:val="false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rPr>
          <w:sz w:val="16"/>
          <w:szCs w:val="16"/>
        </w:rPr>
      </w:pPr>
      <w:r>
        <w:rPr>
          <w:sz w:val="16"/>
          <w:szCs w:val="16"/>
        </w:rPr>
        <w:t>Грачева Татьяна Дмитриевна 8(8313) 39-71-60</w:t>
      </w:r>
    </w:p>
    <w:sectPr>
      <w:headerReference w:type="first" r:id="rId5"/>
      <w:type w:val="nextPage"/>
      <w:pgSz w:w="11906" w:h="16838"/>
      <w:pgMar w:left="1701" w:right="1134" w:gutter="0" w:header="567" w:top="1134" w:footer="0" w:bottom="993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erif">
    <w:altName w:val="Times New Roman"/>
    <w:charset w:val="01"/>
    <w:family w:val="swiss"/>
    <w:pitch w:val="variable"/>
  </w:font>
  <w:font w:name="Tahoma">
    <w:charset w:val="01"/>
    <w:family w:val="roman"/>
    <w:pitch w:val="variable"/>
  </w:font>
  <w:font w:name="Courier New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Arial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0"/>
      <w:tabs>
        <w:tab w:val="clear" w:pos="4677"/>
        <w:tab w:val="clear" w:pos="9355"/>
      </w:tabs>
      <w:rPr/>
    </w:pPr>
    <w:r>
      <w:rPr/>
    </w:r>
  </w:p>
</w:hdr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416c7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Style24"/>
    <w:next w:val="Style25"/>
    <w:qFormat/>
    <w:pPr>
      <w:outlineLvl w:val="0"/>
    </w:pPr>
    <w:rPr>
      <w:rFonts w:ascii="Liberation Serif" w:hAnsi="Liberation Serif" w:eastAsia="DejaVu Sans" w:cs="DejaVu Sans"/>
      <w:b/>
      <w:bCs/>
      <w:sz w:val="48"/>
      <w:szCs w:val="4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Интернет-ссылка"/>
    <w:basedOn w:val="DefaultParagraphFont"/>
    <w:uiPriority w:val="99"/>
    <w:unhideWhenUsed/>
    <w:rsid w:val="00d415e7"/>
    <w:rPr>
      <w:color w:val="0000FF" w:themeColor="hyperlink"/>
      <w:u w:val="single"/>
    </w:rPr>
  </w:style>
  <w:style w:type="character" w:styleId="Style14" w:customStyle="1">
    <w:name w:val="Текст выноски Знак"/>
    <w:link w:val="BalloonText"/>
    <w:qFormat/>
    <w:rsid w:val="00273a67"/>
    <w:rPr>
      <w:rFonts w:ascii="Tahoma" w:hAnsi="Tahoma" w:cs="Tahoma"/>
      <w:sz w:val="16"/>
      <w:szCs w:val="16"/>
    </w:rPr>
  </w:style>
  <w:style w:type="character" w:styleId="Style15" w:customStyle="1">
    <w:name w:val="Верхний колонтитул Знак"/>
    <w:uiPriority w:val="99"/>
    <w:qFormat/>
    <w:rsid w:val="00273a67"/>
    <w:rPr>
      <w:sz w:val="28"/>
      <w:szCs w:val="28"/>
    </w:rPr>
  </w:style>
  <w:style w:type="character" w:styleId="Style16">
    <w:name w:val="Выделение"/>
    <w:qFormat/>
    <w:rsid w:val="00273a67"/>
    <w:rPr>
      <w:i/>
      <w:iCs/>
    </w:rPr>
  </w:style>
  <w:style w:type="character" w:styleId="Style17" w:customStyle="1">
    <w:name w:val="Название Знак"/>
    <w:basedOn w:val="DefaultParagraphFont"/>
    <w:qFormat/>
    <w:rsid w:val="00e06961"/>
    <w:rPr>
      <w:sz w:val="24"/>
    </w:rPr>
  </w:style>
  <w:style w:type="character" w:styleId="2" w:customStyle="1">
    <w:name w:val="Основной текст 2 Знак"/>
    <w:basedOn w:val="DefaultParagraphFont"/>
    <w:link w:val="BodyText2"/>
    <w:qFormat/>
    <w:rsid w:val="00e06961"/>
    <w:rPr>
      <w:sz w:val="24"/>
    </w:rPr>
  </w:style>
  <w:style w:type="character" w:styleId="Style18" w:customStyle="1">
    <w:name w:val="Текст Знак"/>
    <w:basedOn w:val="DefaultParagraphFont"/>
    <w:link w:val="PlainText"/>
    <w:qFormat/>
    <w:rsid w:val="00e06961"/>
    <w:rPr>
      <w:rFonts w:ascii="Courier New" w:hAnsi="Courier New"/>
    </w:rPr>
  </w:style>
  <w:style w:type="character" w:styleId="Style19" w:customStyle="1">
    <w:name w:val="Подзаголовок Знак"/>
    <w:basedOn w:val="DefaultParagraphFont"/>
    <w:qFormat/>
    <w:rsid w:val="00c81a60"/>
    <w:rPr>
      <w:sz w:val="24"/>
    </w:rPr>
  </w:style>
  <w:style w:type="character" w:styleId="Style20" w:customStyle="1">
    <w:name w:val="Посещённая гиперссылка"/>
    <w:basedOn w:val="DefaultParagraphFont"/>
    <w:rsid w:val="00624e96"/>
    <w:rPr>
      <w:color w:val="800080" w:themeColor="followedHyperlink"/>
      <w:u w:val="single"/>
    </w:rPr>
  </w:style>
  <w:style w:type="character" w:styleId="Style21" w:customStyle="1">
    <w:name w:val="Гипертекстовая ссылка"/>
    <w:basedOn w:val="DefaultParagraphFont"/>
    <w:uiPriority w:val="99"/>
    <w:qFormat/>
    <w:rsid w:val="00374357"/>
    <w:rPr>
      <w:color w:val="106BBE"/>
    </w:rPr>
  </w:style>
  <w:style w:type="character" w:styleId="Style22" w:customStyle="1">
    <w:name w:val="Выделение жирным"/>
    <w:qFormat/>
    <w:rPr>
      <w:b/>
      <w:bCs/>
    </w:rPr>
  </w:style>
  <w:style w:type="character" w:styleId="Style23" w:customStyle="1">
    <w:name w:val="Символ нумерации"/>
    <w:qFormat/>
    <w:rPr/>
  </w:style>
  <w:style w:type="paragraph" w:styleId="Style24" w:customStyle="1">
    <w:name w:val="Заголовок"/>
    <w:basedOn w:val="Normal"/>
    <w:next w:val="Style25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Style25">
    <w:name w:val="Body Text"/>
    <w:basedOn w:val="Normal"/>
    <w:pPr>
      <w:spacing w:lineRule="auto" w:line="276" w:before="0" w:after="140"/>
    </w:pPr>
    <w:rPr/>
  </w:style>
  <w:style w:type="paragraph" w:styleId="Style26">
    <w:name w:val="List"/>
    <w:basedOn w:val="Style25"/>
    <w:pPr/>
    <w:rPr>
      <w:rFonts w:cs="Lohit Devanagari"/>
    </w:rPr>
  </w:style>
  <w:style w:type="paragraph" w:styleId="Style2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8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Lohit Devanagari"/>
    </w:rPr>
  </w:style>
  <w:style w:type="paragraph" w:styleId="Style29" w:customStyle="1">
    <w:name w:val="Колонтитул"/>
    <w:basedOn w:val="Normal"/>
    <w:qFormat/>
    <w:pPr/>
    <w:rPr/>
  </w:style>
  <w:style w:type="paragraph" w:styleId="Style30">
    <w:name w:val="Header"/>
    <w:basedOn w:val="Normal"/>
    <w:link w:val="Style15"/>
    <w:uiPriority w:val="99"/>
    <w:rsid w:val="00a83c7f"/>
    <w:pPr>
      <w:tabs>
        <w:tab w:val="clear" w:pos="708"/>
        <w:tab w:val="center" w:pos="4677" w:leader="none"/>
        <w:tab w:val="right" w:pos="9355" w:leader="none"/>
      </w:tabs>
    </w:pPr>
    <w:rPr>
      <w:sz w:val="28"/>
      <w:szCs w:val="28"/>
    </w:rPr>
  </w:style>
  <w:style w:type="paragraph" w:styleId="Style31">
    <w:name w:val="Footer"/>
    <w:basedOn w:val="Normal"/>
    <w:rsid w:val="00a83c7f"/>
    <w:pPr>
      <w:tabs>
        <w:tab w:val="clear" w:pos="708"/>
        <w:tab w:val="center" w:pos="4677" w:leader="none"/>
        <w:tab w:val="right" w:pos="9355" w:leader="none"/>
      </w:tabs>
    </w:pPr>
    <w:rPr>
      <w:sz w:val="28"/>
      <w:szCs w:val="28"/>
    </w:rPr>
  </w:style>
  <w:style w:type="paragraph" w:styleId="BalloonText">
    <w:name w:val="Balloon Text"/>
    <w:basedOn w:val="Normal"/>
    <w:link w:val="Style14"/>
    <w:qFormat/>
    <w:rsid w:val="00273a67"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rsid w:val="00ae47e2"/>
    <w:pPr>
      <w:spacing w:beforeAutospacing="1" w:afterAutospacing="1"/>
    </w:pPr>
    <w:rPr/>
  </w:style>
  <w:style w:type="paragraph" w:styleId="Revision">
    <w:name w:val="Revision"/>
    <w:uiPriority w:val="99"/>
    <w:semiHidden/>
    <w:qFormat/>
    <w:rsid w:val="001d1448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Style32">
    <w:name w:val="Title"/>
    <w:basedOn w:val="Normal"/>
    <w:link w:val="Style17"/>
    <w:qFormat/>
    <w:rsid w:val="00e06961"/>
    <w:pPr>
      <w:spacing w:lineRule="auto" w:line="360"/>
      <w:jc w:val="center"/>
    </w:pPr>
    <w:rPr>
      <w:szCs w:val="20"/>
    </w:rPr>
  </w:style>
  <w:style w:type="paragraph" w:styleId="11" w:customStyle="1">
    <w:name w:val="Обычный1"/>
    <w:qFormat/>
    <w:rsid w:val="00e06961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BodyText2">
    <w:name w:val="Body Text 2"/>
    <w:basedOn w:val="Normal"/>
    <w:link w:val="2"/>
    <w:qFormat/>
    <w:pPr/>
    <w:rPr/>
  </w:style>
  <w:style w:type="paragraph" w:styleId="PlainText">
    <w:name w:val="Plain Text"/>
    <w:basedOn w:val="Normal"/>
    <w:link w:val="Style18"/>
    <w:qFormat/>
    <w:rsid w:val="00e06961"/>
    <w:pPr/>
    <w:rPr>
      <w:rFonts w:ascii="Courier New" w:hAnsi="Courier New"/>
      <w:sz w:val="20"/>
      <w:szCs w:val="20"/>
    </w:rPr>
  </w:style>
  <w:style w:type="paragraph" w:styleId="Rezul" w:customStyle="1">
    <w:name w:val="rezul"/>
    <w:basedOn w:val="Normal"/>
    <w:qFormat/>
    <w:rsid w:val="00e06961"/>
    <w:pPr>
      <w:widowControl w:val="false"/>
      <w:ind w:firstLine="283"/>
      <w:jc w:val="both"/>
    </w:pPr>
    <w:rPr>
      <w:b/>
      <w:sz w:val="22"/>
      <w:szCs w:val="20"/>
      <w:lang w:val="en-US" w:eastAsia="en-US"/>
    </w:rPr>
  </w:style>
  <w:style w:type="paragraph" w:styleId="Style33">
    <w:name w:val="Subtitle"/>
    <w:basedOn w:val="Normal"/>
    <w:link w:val="Style19"/>
    <w:qFormat/>
    <w:rsid w:val="00c81a60"/>
    <w:pPr>
      <w:spacing w:before="40" w:after="40"/>
      <w:ind w:firstLine="425"/>
      <w:jc w:val="center"/>
    </w:pPr>
    <w:rPr>
      <w:szCs w:val="20"/>
    </w:rPr>
  </w:style>
  <w:style w:type="paragraph" w:styleId="Style34" w:customStyle="1">
    <w:name w:val="Знак Знак Знак Знак Знак Знак Знак Знак"/>
    <w:basedOn w:val="Normal"/>
    <w:qFormat/>
    <w:rsid w:val="00912a32"/>
    <w:pPr/>
    <w:rPr>
      <w:rFonts w:ascii="Verdana" w:hAnsi="Verdana" w:cs="Verdana"/>
      <w:sz w:val="20"/>
      <w:szCs w:val="20"/>
      <w:lang w:val="en-US" w:eastAsia="en-US"/>
    </w:rPr>
  </w:style>
  <w:style w:type="paragraph" w:styleId="21" w:customStyle="1">
    <w:name w:val="Список 21"/>
    <w:basedOn w:val="11"/>
    <w:qFormat/>
    <w:rsid w:val="00bb204b"/>
    <w:pPr>
      <w:ind w:left="566" w:hanging="283"/>
    </w:pPr>
    <w:rPr/>
  </w:style>
  <w:style w:type="paragraph" w:styleId="Style35" w:customStyle="1">
    <w:name w:val="Комментарий"/>
    <w:basedOn w:val="Normal"/>
    <w:next w:val="Normal"/>
    <w:uiPriority w:val="99"/>
    <w:qFormat/>
    <w:rsid w:val="00374357"/>
    <w:pPr>
      <w:spacing w:before="75" w:after="0"/>
      <w:ind w:left="170" w:hanging="0"/>
      <w:jc w:val="both"/>
    </w:pPr>
    <w:rPr>
      <w:rFonts w:ascii="Arial" w:hAnsi="Arial" w:cs="Arial"/>
      <w:color w:val="353842"/>
      <w:shd w:fill="F0F0F0" w:val="clear"/>
    </w:rPr>
  </w:style>
  <w:style w:type="paragraph" w:styleId="Style36" w:customStyle="1">
    <w:name w:val="Информация об изменениях документа"/>
    <w:basedOn w:val="Style35"/>
    <w:next w:val="Normal"/>
    <w:uiPriority w:val="99"/>
    <w:qFormat/>
    <w:rsid w:val="00374357"/>
    <w:pPr/>
    <w:rPr>
      <w:i/>
      <w:iCs/>
    </w:rPr>
  </w:style>
  <w:style w:type="paragraph" w:styleId="Style37" w:customStyle="1">
    <w:name w:val="Содержимое врезки"/>
    <w:basedOn w:val="Normal"/>
    <w:qFormat/>
    <w:pPr/>
    <w:rPr/>
  </w:style>
  <w:style w:type="paragraph" w:styleId="211" w:customStyle="1">
    <w:name w:val="Основной текст 21"/>
    <w:basedOn w:val="Normal"/>
    <w:qFormat/>
    <w:pPr/>
    <w:rPr/>
  </w:style>
  <w:style w:type="paragraph" w:styleId="212" w:customStyle="1">
    <w:name w:val="Основной текст с отступом 21"/>
    <w:basedOn w:val="Normal"/>
    <w:qFormat/>
    <w:rsid w:val="00d415e7"/>
    <w:pPr>
      <w:widowControl w:val="false"/>
      <w:suppressAutoHyphens w:val="false"/>
      <w:ind w:firstLine="426"/>
    </w:pPr>
    <w:rPr>
      <w:szCs w:val="20"/>
    </w:rPr>
  </w:style>
  <w:style w:type="paragraph" w:styleId="LONormal" w:customStyle="1">
    <w:name w:val="LO-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ListBullet3">
    <w:name w:val="List Bullet 3"/>
    <w:basedOn w:val="LONormal"/>
    <w:qFormat/>
    <w:pPr>
      <w:ind w:left="566" w:hanging="283"/>
    </w:pPr>
    <w:rPr/>
  </w:style>
  <w:style w:type="paragraph" w:styleId="ListParagraph">
    <w:name w:val="List Paragraph"/>
    <w:basedOn w:val="Normal"/>
    <w:qFormat/>
    <w:pPr>
      <w:ind w:left="122" w:right="166" w:firstLine="707"/>
    </w:pPr>
    <w:rPr/>
  </w:style>
  <w:style w:type="paragraph" w:styleId="Style38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9" w:customStyle="1">
    <w:name w:val="Заголовок таблицы"/>
    <w:basedOn w:val="Style38"/>
    <w:qFormat/>
    <w:pPr>
      <w:jc w:val="center"/>
    </w:pPr>
    <w:rPr>
      <w:b/>
      <w:bCs/>
    </w:rPr>
  </w:style>
  <w:style w:type="paragraph" w:styleId="Default" w:customStyle="1">
    <w:name w:val="Default"/>
    <w:qFormat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3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Grid"/>
    <w:basedOn w:val="a3"/>
    <w:rsid w:val="00a83c7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torgi.gov.ru/" TargetMode="External"/><Relationship Id="rId3" Type="http://schemas.openxmlformats.org/officeDocument/2006/relationships/hyperlink" Target="http://www.torgi.gov.ru/" TargetMode="External"/><Relationship Id="rId4" Type="http://schemas.openxmlformats.org/officeDocument/2006/relationships/hyperlink" Target="http://www.lot-online.ru/" TargetMode="External"/><Relationship Id="rId5" Type="http://schemas.openxmlformats.org/officeDocument/2006/relationships/header" Target="header1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5004</TotalTime>
  <Application>AlterOffice/3.2.11.2$Linux_X86_64 LibreOffice_project/f3cab14ae505be78703a2a5ea081339a808db020</Application>
  <AppVersion>15.0000</AppVersion>
  <Pages>15</Pages>
  <Words>6122</Words>
  <Characters>43369</Characters>
  <CharactersWithSpaces>49352</CharactersWithSpaces>
  <Paragraphs>175</Paragraphs>
  <Company>Администрация г. Дзержинска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2023-12-20T09:01:00Z</dcterms:created>
  <dc:creator>Фокина Юлия Николаевна</dc:creator>
  <dc:description/>
  <dc:language>ru-RU</dc:language>
  <cp:lastModifiedBy>kochetova.aa</cp:lastModifiedBy>
  <cp:lastPrinted>2023-12-22T13:16:00Z</cp:lastPrinted>
  <dcterms:modified xsi:type="dcterms:W3CDTF">2026-07-31T16:56:57Z</dcterms:modified>
  <cp:revision>704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